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6F439">
      <w:pPr>
        <w:pStyle w:val="11"/>
        <w:numPr>
          <w:ilvl w:val="0"/>
          <w:numId w:val="0"/>
        </w:numPr>
        <w:adjustRightInd w:val="0"/>
        <w:snapToGrid w:val="0"/>
        <w:ind w:leftChars="0" w:firstLine="3534" w:firstLineChars="800"/>
        <w:jc w:val="both"/>
        <w:rPr>
          <w:rFonts w:hint="eastAsia" w:ascii="宋体"/>
          <w:b/>
          <w:bCs/>
          <w:sz w:val="36"/>
          <w:szCs w:val="36"/>
          <w:lang w:val="en-US" w:eastAsia="zh-CN"/>
        </w:rPr>
      </w:pPr>
      <w:r>
        <w:rPr>
          <w:rFonts w:hint="eastAsia" w:ascii="宋体"/>
          <w:b/>
          <w:bCs/>
          <w:sz w:val="44"/>
          <w:szCs w:val="44"/>
          <w:lang w:val="en-US" w:eastAsia="zh-CN"/>
        </w:rPr>
        <w:t>评分办法</w:t>
      </w:r>
    </w:p>
    <w:p w14:paraId="32DAC199">
      <w:pPr>
        <w:pStyle w:val="11"/>
        <w:numPr>
          <w:ilvl w:val="0"/>
          <w:numId w:val="0"/>
        </w:numPr>
        <w:adjustRightInd w:val="0"/>
        <w:snapToGrid w:val="0"/>
        <w:ind w:leftChars="0"/>
        <w:jc w:val="both"/>
        <w:rPr>
          <w:rFonts w:hint="default" w:eastAsia="宋体"/>
          <w:szCs w:val="24"/>
          <w:lang w:val="en-US" w:eastAsia="zh-CN"/>
        </w:rPr>
      </w:pPr>
      <w:r>
        <w:rPr>
          <w:rFonts w:hint="eastAsia"/>
          <w:szCs w:val="24"/>
          <w:lang w:val="en-US" w:eastAsia="zh-CN"/>
        </w:rPr>
        <w:t xml:space="preserve">                                                 </w:t>
      </w:r>
    </w:p>
    <w:tbl>
      <w:tblPr>
        <w:tblStyle w:val="17"/>
        <w:tblW w:w="60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8"/>
        <w:gridCol w:w="7389"/>
        <w:gridCol w:w="578"/>
        <w:gridCol w:w="448"/>
      </w:tblGrid>
      <w:tr w14:paraId="1C7A2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083" w:type="pct"/>
            <w:vAlign w:val="center"/>
          </w:tcPr>
          <w:p w14:paraId="71AD14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项目及分值</w:t>
            </w:r>
          </w:p>
        </w:tc>
        <w:tc>
          <w:tcPr>
            <w:tcW w:w="3439" w:type="pct"/>
            <w:vAlign w:val="center"/>
          </w:tcPr>
          <w:p w14:paraId="1D668D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530" w:firstLineChars="1050"/>
              <w:jc w:val="both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评分标准</w:t>
            </w:r>
          </w:p>
        </w:tc>
        <w:tc>
          <w:tcPr>
            <w:tcW w:w="268" w:type="pct"/>
            <w:vAlign w:val="center"/>
          </w:tcPr>
          <w:p w14:paraId="274341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分值标准</w:t>
            </w:r>
          </w:p>
        </w:tc>
        <w:tc>
          <w:tcPr>
            <w:tcW w:w="208" w:type="pct"/>
            <w:vAlign w:val="center"/>
          </w:tcPr>
          <w:p w14:paraId="52C7DC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实际得分</w:t>
            </w:r>
          </w:p>
        </w:tc>
      </w:tr>
      <w:tr w14:paraId="24BD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083" w:type="pct"/>
            <w:vAlign w:val="center"/>
          </w:tcPr>
          <w:p w14:paraId="74A1DE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报价分</w:t>
            </w:r>
          </w:p>
        </w:tc>
        <w:tc>
          <w:tcPr>
            <w:tcW w:w="3439" w:type="pct"/>
            <w:vAlign w:val="center"/>
          </w:tcPr>
          <w:p w14:paraId="2EDB40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采用代理服务费优惠率报价，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参照黔招协〔2025〕35号文件执行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 xml:space="preserve">，在合理区间内横向比价，兼顾服务质量与成本，避免恶性低价竞争： </w:t>
            </w:r>
          </w:p>
          <w:p w14:paraId="7691661D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优惠率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大于2</w:t>
            </w:r>
            <w:r>
              <w:rPr>
                <w:rFonts w:hint="default" w:ascii="Arial" w:hAnsi="Arial" w:eastAsia="等线" w:cs="Arial"/>
                <w:sz w:val="22"/>
              </w:rPr>
              <w:t>0%，报价合理稳健，得15-20分；</w:t>
            </w:r>
          </w:p>
          <w:p w14:paraId="6841AD1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优惠率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10</w:t>
            </w:r>
            <w:r>
              <w:rPr>
                <w:rFonts w:hint="default" w:ascii="Arial" w:hAnsi="Arial" w:eastAsia="等线" w:cs="Arial"/>
                <w:sz w:val="22"/>
              </w:rPr>
              <w:t>%–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20</w:t>
            </w:r>
            <w:r>
              <w:rPr>
                <w:rFonts w:hint="default" w:ascii="Arial" w:hAnsi="Arial" w:eastAsia="等线" w:cs="Arial"/>
                <w:sz w:val="22"/>
              </w:rPr>
              <w:t>%（不含），报价适中，得7-14分；</w:t>
            </w:r>
          </w:p>
          <w:p w14:paraId="5B211B7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优惠率＜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10</w:t>
            </w:r>
            <w:r>
              <w:rPr>
                <w:rFonts w:hint="default" w:ascii="Arial" w:hAnsi="Arial" w:eastAsia="等线" w:cs="Arial"/>
                <w:sz w:val="22"/>
              </w:rPr>
              <w:t>%，报价不合理，得6-8分；</w:t>
            </w:r>
          </w:p>
          <w:p w14:paraId="4A4C80C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default" w:ascii="Arial" w:hAnsi="Arial" w:eastAsia="等线" w:cs="Arial"/>
                <w:sz w:val="22"/>
              </w:rPr>
              <w:t>4. 优惠率＞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5</w:t>
            </w:r>
            <w:r>
              <w:rPr>
                <w:rFonts w:hint="default" w:ascii="Arial" w:hAnsi="Arial" w:eastAsia="等线" w:cs="Arial"/>
                <w:sz w:val="22"/>
              </w:rPr>
              <w:t>0%，启动异常低价核查，参选单位无法举证成本合理性的，按无效竞选处理。</w:t>
            </w:r>
          </w:p>
        </w:tc>
        <w:tc>
          <w:tcPr>
            <w:tcW w:w="268" w:type="pct"/>
            <w:vAlign w:val="center"/>
          </w:tcPr>
          <w:p w14:paraId="704828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分</w:t>
            </w:r>
          </w:p>
        </w:tc>
        <w:tc>
          <w:tcPr>
            <w:tcW w:w="208" w:type="pct"/>
            <w:vAlign w:val="center"/>
          </w:tcPr>
          <w:p w14:paraId="055135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7B795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83" w:type="pct"/>
            <w:vAlign w:val="center"/>
          </w:tcPr>
          <w:p w14:paraId="63CB55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办公场所合规性</w:t>
            </w:r>
          </w:p>
        </w:tc>
        <w:tc>
          <w:tcPr>
            <w:tcW w:w="3439" w:type="pct"/>
            <w:vAlign w:val="center"/>
          </w:tcPr>
          <w:p w14:paraId="32572163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自有</w:t>
            </w:r>
            <w:r>
              <w:rPr>
                <w:rFonts w:hint="eastAsia" w:ascii="Arial" w:hAnsi="Arial" w:eastAsia="等线" w:cs="Arial"/>
                <w:b/>
                <w:bCs/>
                <w:sz w:val="22"/>
                <w:lang w:val="en-US" w:eastAsia="zh-CN"/>
              </w:rPr>
              <w:t>办公</w:t>
            </w:r>
            <w:r>
              <w:rPr>
                <w:rFonts w:hint="default" w:ascii="Arial" w:hAnsi="Arial" w:eastAsia="等线" w:cs="Arial"/>
                <w:b/>
                <w:bCs/>
                <w:sz w:val="22"/>
              </w:rPr>
              <w:t>场地提供产权/购房合同；租赁场地提供租赁合同+出租方产权或授权文件，材料加盖公章，不限地域。</w:t>
            </w:r>
          </w:p>
          <w:p w14:paraId="1BDD7256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firstLine="0"/>
              <w:jc w:val="both"/>
              <w:rPr>
                <w:rFonts w:hint="default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  <w:t>（1）具有固定办公场所（开标室、评标室、资料室、监控室、专家抽取室），面积≥500平方米，得10分；</w:t>
            </w:r>
          </w:p>
          <w:p w14:paraId="69A4BCFA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firstLine="0"/>
              <w:jc w:val="both"/>
              <w:rPr>
                <w:rFonts w:hint="default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  <w:t>（2）具有固定办公场所（开标室、评标室、资料室、监控室、专家抽取室），500平方米＞面积≥350平方米，得5分；</w:t>
            </w:r>
          </w:p>
          <w:p w14:paraId="4D9C9C13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firstLine="0"/>
              <w:jc w:val="both"/>
              <w:rPr>
                <w:rFonts w:hint="default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  <w:t>（3）具有固定办公场所（开标室、评标室、资料室、监控室、专家抽取室），350平方米＞面积≥200平方米，得3分；</w:t>
            </w:r>
          </w:p>
          <w:p w14:paraId="1F8A482E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uto"/>
              <w:ind w:left="0" w:firstLine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Arial" w:hAnsi="Arial" w:eastAsia="等线" w:cs="Arial"/>
                <w:kern w:val="2"/>
                <w:sz w:val="22"/>
                <w:szCs w:val="22"/>
                <w:lang w:val="en-US" w:eastAsia="zh-CN" w:bidi="ar-SA"/>
              </w:rPr>
              <w:t>（4）“不具备开标室、评标室、资料室、监控室、专家抽取室”或“面积＜200平方米”的，得0分。</w:t>
            </w:r>
          </w:p>
        </w:tc>
        <w:tc>
          <w:tcPr>
            <w:tcW w:w="268" w:type="pct"/>
            <w:vAlign w:val="center"/>
          </w:tcPr>
          <w:p w14:paraId="4F2DE9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10分</w:t>
            </w:r>
          </w:p>
        </w:tc>
        <w:tc>
          <w:tcPr>
            <w:tcW w:w="208" w:type="pct"/>
            <w:vAlign w:val="center"/>
          </w:tcPr>
          <w:p w14:paraId="7012C5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4B754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  <w:jc w:val="center"/>
        </w:trPr>
        <w:tc>
          <w:tcPr>
            <w:tcW w:w="1083" w:type="pct"/>
            <w:vAlign w:val="center"/>
          </w:tcPr>
          <w:p w14:paraId="1E6343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  <w:t>项目负责人</w:t>
            </w:r>
          </w:p>
        </w:tc>
        <w:tc>
          <w:tcPr>
            <w:tcW w:w="3439" w:type="pct"/>
            <w:vAlign w:val="center"/>
          </w:tcPr>
          <w:p w14:paraId="6EC2952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提供负责人近12个月任意3个月社保、从业经历及招标代理/政府采购业绩公示截图、公告等佐证材料。</w:t>
            </w:r>
          </w:p>
          <w:p w14:paraId="64ECD2D5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社保、从业及业绩材料齐全有效，得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5</w:t>
            </w:r>
            <w:r>
              <w:rPr>
                <w:rFonts w:hint="default" w:ascii="Arial" w:hAnsi="Arial" w:eastAsia="等线" w:cs="Arial"/>
                <w:sz w:val="22"/>
              </w:rPr>
              <w:t>分；</w:t>
            </w:r>
          </w:p>
          <w:p w14:paraId="29C40A4D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社保齐全，从业或业绩佐证不全，每项扣3分，扣完为止；</w:t>
            </w:r>
          </w:p>
          <w:p w14:paraId="024009DA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default" w:ascii="Arial" w:hAnsi="Arial" w:eastAsia="等线" w:cs="Arial"/>
                <w:sz w:val="22"/>
              </w:rPr>
              <w:t>3. 无社保佐证、非本单位在职、无从业及业绩材料，得0分。</w:t>
            </w:r>
          </w:p>
        </w:tc>
        <w:tc>
          <w:tcPr>
            <w:tcW w:w="268" w:type="pct"/>
            <w:vAlign w:val="center"/>
          </w:tcPr>
          <w:p w14:paraId="786CAE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5分</w:t>
            </w:r>
          </w:p>
        </w:tc>
        <w:tc>
          <w:tcPr>
            <w:tcW w:w="208" w:type="pct"/>
            <w:vAlign w:val="center"/>
          </w:tcPr>
          <w:p w14:paraId="55EDF603">
            <w:pPr>
              <w:keepNext w:val="0"/>
              <w:keepLines w:val="0"/>
              <w:suppressLineNumbers w:val="0"/>
              <w:bidi w:val="0"/>
              <w:spacing w:before="0" w:beforeAutospacing="0" w:after="0" w:afterAutospacing="0"/>
              <w:ind w:left="0" w:right="0" w:firstLine="257" w:firstLineChars="0"/>
              <w:jc w:val="left"/>
              <w:rPr>
                <w:rFonts w:hint="default" w:ascii="Calibri" w:hAnsi="Calibri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414AF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083" w:type="pct"/>
            <w:vAlign w:val="center"/>
          </w:tcPr>
          <w:p w14:paraId="6C19F4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机构实力</w:t>
            </w:r>
          </w:p>
        </w:tc>
        <w:tc>
          <w:tcPr>
            <w:tcW w:w="3439" w:type="pct"/>
            <w:vAlign w:val="center"/>
          </w:tcPr>
          <w:p w14:paraId="5503049E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Arial" w:hAnsi="Arial" w:eastAsia="等线" w:cs="Arial"/>
                <w:b/>
                <w:bCs/>
                <w:sz w:val="22"/>
              </w:rPr>
            </w:pPr>
            <w:r>
              <w:rPr>
                <w:rFonts w:hint="eastAsia" w:ascii="Arial" w:hAnsi="Arial" w:eastAsia="等线" w:cs="Arial"/>
                <w:b/>
                <w:bCs/>
                <w:sz w:val="22"/>
              </w:rPr>
              <w:t>机构综合实力</w:t>
            </w:r>
          </w:p>
          <w:p w14:paraId="19D82754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提供质量管理、档案管理、风险防控、廉洁自律、内控制度文件（加盖公章）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14分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。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 xml:space="preserve"> 五项制度齐全规范，得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分；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 xml:space="preserve"> 缺1项扣2分，扣完为止；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无制度得0分。</w:t>
            </w:r>
          </w:p>
          <w:p w14:paraId="731EF79E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提供电子化招标、服务相关佐证截图及说明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6分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。</w:t>
            </w:r>
          </w:p>
          <w:p w14:paraId="33A7FC1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熟悉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电子化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交易全流程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服务能力，材料齐全，得6分；</w:t>
            </w:r>
          </w:p>
          <w:p w14:paraId="72F8A89E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基本熟悉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电子化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交易全流程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服务能力，无完整远程服务能力，得3分；</w:t>
            </w:r>
          </w:p>
          <w:p w14:paraId="3D6F84D5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无相关能力及佐证，得0分</w:t>
            </w:r>
          </w:p>
        </w:tc>
        <w:tc>
          <w:tcPr>
            <w:tcW w:w="268" w:type="pct"/>
            <w:vAlign w:val="center"/>
          </w:tcPr>
          <w:p w14:paraId="1C5CE5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20分</w:t>
            </w:r>
          </w:p>
        </w:tc>
        <w:tc>
          <w:tcPr>
            <w:tcW w:w="208" w:type="pct"/>
            <w:vAlign w:val="center"/>
          </w:tcPr>
          <w:p w14:paraId="00834E83">
            <w:pPr>
              <w:keepNext w:val="0"/>
              <w:keepLines w:val="0"/>
              <w:suppressLineNumbers w:val="0"/>
              <w:bidi w:val="0"/>
              <w:spacing w:before="0" w:beforeAutospacing="0" w:after="0" w:afterAutospacing="0"/>
              <w:ind w:left="0" w:right="0" w:firstLine="257" w:firstLineChars="0"/>
              <w:jc w:val="left"/>
              <w:rPr>
                <w:rFonts w:hint="default" w:ascii="Calibri" w:hAnsi="Calibri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6089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1" w:hRule="atLeast"/>
          <w:jc w:val="center"/>
        </w:trPr>
        <w:tc>
          <w:tcPr>
            <w:tcW w:w="1083" w:type="pct"/>
            <w:vAlign w:val="center"/>
          </w:tcPr>
          <w:p w14:paraId="690AAD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专业服务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  <w:t>团队</w:t>
            </w:r>
          </w:p>
        </w:tc>
        <w:tc>
          <w:tcPr>
            <w:tcW w:w="3439" w:type="pct"/>
            <w:vAlign w:val="center"/>
          </w:tcPr>
          <w:p w14:paraId="1301B31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拟投入团队不少于3人（项目负责人1名、专职经办人≥2名），提供团队名单、岗位职责、人员佐证及社保材料。</w:t>
            </w:r>
          </w:p>
          <w:p w14:paraId="137E96AD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团队配置（6分）：人员数量达标、岗位职责全覆盖，得6分；人员达标岗位不全得3分；人员不足得0分。</w:t>
            </w:r>
          </w:p>
          <w:p w14:paraId="16A73AEA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专业能力（6分）：团队成员（含负责人）具备相关从业/培训/业绩佐证，每人合格得2分，满分6分。</w:t>
            </w:r>
          </w:p>
          <w:p w14:paraId="67BB0F6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在岗保障（3分）：团队全员提供近12个月任意3个月社保，齐全得3分，缺1人扣1分，扣完为止。</w:t>
            </w:r>
          </w:p>
          <w:p w14:paraId="19FBDF3C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right="0" w:rightChars="0" w:firstLine="211" w:firstLineChars="100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8" w:type="pct"/>
            <w:vAlign w:val="center"/>
          </w:tcPr>
          <w:p w14:paraId="5C0EEA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15分</w:t>
            </w:r>
          </w:p>
        </w:tc>
        <w:tc>
          <w:tcPr>
            <w:tcW w:w="208" w:type="pct"/>
            <w:vAlign w:val="center"/>
          </w:tcPr>
          <w:p w14:paraId="0C0A01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7A1B1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  <w:jc w:val="center"/>
        </w:trPr>
        <w:tc>
          <w:tcPr>
            <w:tcW w:w="1083" w:type="pct"/>
            <w:vAlign w:val="center"/>
          </w:tcPr>
          <w:p w14:paraId="0B0D0A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业绩</w:t>
            </w:r>
          </w:p>
        </w:tc>
        <w:tc>
          <w:tcPr>
            <w:tcW w:w="3439" w:type="pct"/>
            <w:vAlign w:val="center"/>
          </w:tcPr>
          <w:p w14:paraId="2B644EFF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统计周期：公告发布之日起倒算3年；货物、服务、工程类招标代理业绩均认可。每项业绩需同时提供代理合同+平台公示截图，加盖公章；本部业绩计分，分公司、联合体业绩不计，不重复计分。</w:t>
            </w:r>
          </w:p>
          <w:p w14:paraId="76658670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有效同类业绩3项及以上，得10分；</w:t>
            </w:r>
          </w:p>
          <w:p w14:paraId="355597C6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有效同类业绩1-2项，得5分；</w:t>
            </w:r>
          </w:p>
          <w:p w14:paraId="2CCE26D5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无有效业绩，得0分。</w:t>
            </w:r>
          </w:p>
          <w:p w14:paraId="5D37846F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239" w:leftChars="114" w:right="0" w:firstLine="0" w:firstLineChars="0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68" w:type="pct"/>
            <w:vAlign w:val="center"/>
          </w:tcPr>
          <w:p w14:paraId="1E6098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10分</w:t>
            </w:r>
          </w:p>
        </w:tc>
        <w:tc>
          <w:tcPr>
            <w:tcW w:w="208" w:type="pct"/>
            <w:vAlign w:val="center"/>
          </w:tcPr>
          <w:p w14:paraId="4A20D4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645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</w:tr>
      <w:tr w14:paraId="4990E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5" w:hRule="atLeast"/>
          <w:jc w:val="center"/>
        </w:trPr>
        <w:tc>
          <w:tcPr>
            <w:tcW w:w="1083" w:type="pct"/>
            <w:vAlign w:val="center"/>
          </w:tcPr>
          <w:p w14:paraId="554B58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代理服务方案</w:t>
            </w:r>
          </w:p>
        </w:tc>
        <w:tc>
          <w:tcPr>
            <w:tcW w:w="3439" w:type="pct"/>
            <w:vAlign w:val="center"/>
          </w:tcPr>
          <w:p w14:paraId="4F1CC79F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left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方案须包含：服务流程、时间管控、合规风控、异议投诉处理、保密管理、廉洁承诺、应急保障、电子化服务八大模块，要求可量化、可落地、可考核。</w:t>
            </w:r>
          </w:p>
          <w:p w14:paraId="6055C363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八大模块齐全，措施量化、时限明确、针对性强、可直接落地，得16-20分；</w:t>
            </w:r>
          </w:p>
          <w:p w14:paraId="0BE74662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八大模块齐全，框架完整，部分细节未量化，基本满足需求，得8-15分；</w:t>
            </w:r>
          </w:p>
          <w:p w14:paraId="47ED465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缺失模块或内容简略、针对性弱、可操作性差，得1-7分；</w:t>
            </w:r>
          </w:p>
          <w:p w14:paraId="741E8AD8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Arial" w:hAnsi="Arial" w:eastAsia="等线" w:cs="Arial"/>
                <w:sz w:val="22"/>
              </w:rPr>
              <w:t>4. 未提供方案，得0分。</w:t>
            </w:r>
          </w:p>
        </w:tc>
        <w:tc>
          <w:tcPr>
            <w:tcW w:w="268" w:type="pct"/>
            <w:vAlign w:val="center"/>
          </w:tcPr>
          <w:p w14:paraId="26D732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20分</w:t>
            </w:r>
          </w:p>
        </w:tc>
        <w:tc>
          <w:tcPr>
            <w:tcW w:w="208" w:type="pct"/>
            <w:vAlign w:val="center"/>
          </w:tcPr>
          <w:p w14:paraId="4A1838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645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698B3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522" w:type="pct"/>
            <w:gridSpan w:val="2"/>
            <w:vAlign w:val="center"/>
          </w:tcPr>
          <w:p w14:paraId="6EA63D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outlineLvl w:val="1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总    分</w:t>
            </w:r>
          </w:p>
        </w:tc>
        <w:tc>
          <w:tcPr>
            <w:tcW w:w="477" w:type="pct"/>
            <w:gridSpan w:val="2"/>
            <w:vAlign w:val="center"/>
          </w:tcPr>
          <w:p w14:paraId="548E3D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100分</w:t>
            </w:r>
          </w:p>
        </w:tc>
      </w:tr>
    </w:tbl>
    <w:p w14:paraId="4FBF0A7C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ascii="Arial" w:hAnsi="Arial" w:eastAsia="等线" w:cs="Arial"/>
          <w:b/>
          <w:sz w:val="32"/>
        </w:rPr>
        <w:t>要求</w:t>
      </w:r>
      <w:r>
        <w:rPr>
          <w:rFonts w:hint="eastAsia" w:ascii="Arial" w:hAnsi="Arial" w:eastAsia="等线" w:cs="Arial"/>
          <w:b/>
          <w:sz w:val="32"/>
          <w:lang w:eastAsia="zh-CN"/>
        </w:rPr>
        <w:t>：</w:t>
      </w:r>
      <w:r>
        <w:rPr>
          <w:rFonts w:ascii="Arial" w:hAnsi="Arial" w:eastAsia="等线" w:cs="Arial"/>
          <w:sz w:val="22"/>
        </w:rPr>
        <w:t>所有佐证材料须真实有效、加盖参选单位公章，弄虚作假取消参选资格。</w:t>
      </w:r>
    </w:p>
    <w:sectPr>
      <w:headerReference r:id="rId3" w:type="default"/>
      <w:footerReference r:id="rId4" w:type="default"/>
      <w:pgSz w:w="11906" w:h="16838"/>
      <w:pgMar w:top="1440" w:right="1486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0B265">
    <w:pPr>
      <w:pStyle w:val="13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0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4EC9B17">
                          <w:pPr>
                            <w:pStyle w:val="1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76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81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40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l1uVLQAAAABQEAAA8AAAAAAAAAAQAgAAAAIgAAAGRycy9kb3ducmV2LnhtbFBL&#10;AQIUABQAAAAIAIdO4kD0dXM9xQEAAIoDAAAOAAAAAAAAAAEAIAAAAB8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4EC9B17">
                    <w:pPr>
                      <w:pStyle w:val="1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76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81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EA23F">
    <w:pPr>
      <w:pStyle w:val="7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30" w:hanging="430"/>
      </w:pPr>
      <w:rPr>
        <w:rFonts w:hint="eastAsia" w:cs="Times New Roman"/>
      </w:rPr>
    </w:lvl>
    <w:lvl w:ilvl="1" w:tentative="0">
      <w:start w:val="1"/>
      <w:numFmt w:val="decimal"/>
      <w:lvlText w:val="%1.%2"/>
      <w:lvlJc w:val="left"/>
      <w:pPr>
        <w:tabs>
          <w:tab w:val="left" w:pos="700"/>
        </w:tabs>
        <w:ind w:left="700" w:hanging="700"/>
      </w:pPr>
      <w:rPr>
        <w:rFonts w:hint="eastAsia" w:cs="Times New Roman"/>
        <w:sz w:val="24"/>
        <w:szCs w:val="24"/>
      </w:rPr>
    </w:lvl>
    <w:lvl w:ilvl="2" w:tentative="0">
      <w:start w:val="1"/>
      <w:numFmt w:val="decimal"/>
      <w:pStyle w:val="30"/>
      <w:lvlText w:val="%1.%2.%3"/>
      <w:lvlJc w:val="left"/>
      <w:pPr>
        <w:tabs>
          <w:tab w:val="left" w:pos="1142"/>
        </w:tabs>
        <w:ind w:left="1142" w:hanging="1000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1984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wMTJlMmRhOGJlYmViZjM4YjJhNjZjNTFkZDU4N2IifQ=="/>
  </w:docVars>
  <w:rsids>
    <w:rsidRoot w:val="00000000"/>
    <w:rsid w:val="00D64AE1"/>
    <w:rsid w:val="018D0F17"/>
    <w:rsid w:val="05103533"/>
    <w:rsid w:val="05174876"/>
    <w:rsid w:val="05B33FDB"/>
    <w:rsid w:val="06DD06DB"/>
    <w:rsid w:val="076B3AA9"/>
    <w:rsid w:val="085B1D6F"/>
    <w:rsid w:val="092D54BA"/>
    <w:rsid w:val="09BE4AF5"/>
    <w:rsid w:val="0A2E5B74"/>
    <w:rsid w:val="0A4D693B"/>
    <w:rsid w:val="0C790A16"/>
    <w:rsid w:val="0D0E5602"/>
    <w:rsid w:val="0D1F3577"/>
    <w:rsid w:val="0D80268F"/>
    <w:rsid w:val="0E864717"/>
    <w:rsid w:val="0F283452"/>
    <w:rsid w:val="0FB56209"/>
    <w:rsid w:val="0FF07241"/>
    <w:rsid w:val="11A77DD3"/>
    <w:rsid w:val="11AD25D1"/>
    <w:rsid w:val="122B27B2"/>
    <w:rsid w:val="12AC6FE5"/>
    <w:rsid w:val="13531FC1"/>
    <w:rsid w:val="13C47C7A"/>
    <w:rsid w:val="13F35307"/>
    <w:rsid w:val="142B4CEC"/>
    <w:rsid w:val="145A737F"/>
    <w:rsid w:val="161E788B"/>
    <w:rsid w:val="182E4DAB"/>
    <w:rsid w:val="18A72311"/>
    <w:rsid w:val="18FA4C8D"/>
    <w:rsid w:val="1AAC630A"/>
    <w:rsid w:val="1B440895"/>
    <w:rsid w:val="1EE91A2B"/>
    <w:rsid w:val="203E1903"/>
    <w:rsid w:val="203E7B55"/>
    <w:rsid w:val="20CC33B3"/>
    <w:rsid w:val="20EE50D7"/>
    <w:rsid w:val="217F5F4C"/>
    <w:rsid w:val="2247369D"/>
    <w:rsid w:val="228F6382"/>
    <w:rsid w:val="23614286"/>
    <w:rsid w:val="23B07675"/>
    <w:rsid w:val="259F1096"/>
    <w:rsid w:val="27231852"/>
    <w:rsid w:val="27AC7A9A"/>
    <w:rsid w:val="27B0758A"/>
    <w:rsid w:val="28066B9B"/>
    <w:rsid w:val="28BC1F5F"/>
    <w:rsid w:val="2A2102CB"/>
    <w:rsid w:val="2B557D72"/>
    <w:rsid w:val="2C271DE5"/>
    <w:rsid w:val="2C732934"/>
    <w:rsid w:val="2C792640"/>
    <w:rsid w:val="2D114C89"/>
    <w:rsid w:val="2D873B5A"/>
    <w:rsid w:val="2F9B5F17"/>
    <w:rsid w:val="30AA1085"/>
    <w:rsid w:val="30F77FD8"/>
    <w:rsid w:val="30FC5EF3"/>
    <w:rsid w:val="319A2B6E"/>
    <w:rsid w:val="326A117D"/>
    <w:rsid w:val="32EC5C70"/>
    <w:rsid w:val="34CF7153"/>
    <w:rsid w:val="355C2D86"/>
    <w:rsid w:val="36541A28"/>
    <w:rsid w:val="386F48F8"/>
    <w:rsid w:val="38F03CD4"/>
    <w:rsid w:val="39186D3D"/>
    <w:rsid w:val="397D1296"/>
    <w:rsid w:val="3A0D44AA"/>
    <w:rsid w:val="3A2937CE"/>
    <w:rsid w:val="3C40227C"/>
    <w:rsid w:val="3D960B78"/>
    <w:rsid w:val="3E8D3761"/>
    <w:rsid w:val="3F021A0C"/>
    <w:rsid w:val="3FDD2E74"/>
    <w:rsid w:val="405475ED"/>
    <w:rsid w:val="40CA3013"/>
    <w:rsid w:val="419A2B5E"/>
    <w:rsid w:val="41BB295C"/>
    <w:rsid w:val="43274296"/>
    <w:rsid w:val="443C4228"/>
    <w:rsid w:val="450C295C"/>
    <w:rsid w:val="45CF4C28"/>
    <w:rsid w:val="45D83C0E"/>
    <w:rsid w:val="461A34E7"/>
    <w:rsid w:val="46A57FC7"/>
    <w:rsid w:val="46B73B98"/>
    <w:rsid w:val="471C3E9C"/>
    <w:rsid w:val="47BD18C7"/>
    <w:rsid w:val="49FE1F7F"/>
    <w:rsid w:val="4D243AAB"/>
    <w:rsid w:val="4D886C44"/>
    <w:rsid w:val="4DDF79D2"/>
    <w:rsid w:val="509A21B8"/>
    <w:rsid w:val="51AC22C1"/>
    <w:rsid w:val="528374C6"/>
    <w:rsid w:val="53AC65A8"/>
    <w:rsid w:val="551D485B"/>
    <w:rsid w:val="55C6580E"/>
    <w:rsid w:val="577B4C0F"/>
    <w:rsid w:val="593877E0"/>
    <w:rsid w:val="59561490"/>
    <w:rsid w:val="59BA2983"/>
    <w:rsid w:val="59DB3FF6"/>
    <w:rsid w:val="5AEC6705"/>
    <w:rsid w:val="5BB701E0"/>
    <w:rsid w:val="5C7A1CEA"/>
    <w:rsid w:val="60575AEE"/>
    <w:rsid w:val="60597AB8"/>
    <w:rsid w:val="60AD4A95"/>
    <w:rsid w:val="62634C1E"/>
    <w:rsid w:val="626A44D0"/>
    <w:rsid w:val="62CE653B"/>
    <w:rsid w:val="63A530F0"/>
    <w:rsid w:val="652A37D1"/>
    <w:rsid w:val="6660394E"/>
    <w:rsid w:val="66B15F58"/>
    <w:rsid w:val="670C5884"/>
    <w:rsid w:val="685F7C35"/>
    <w:rsid w:val="6A3D3FA6"/>
    <w:rsid w:val="6BC93D43"/>
    <w:rsid w:val="6CE03893"/>
    <w:rsid w:val="6E115FD3"/>
    <w:rsid w:val="6E2C3796"/>
    <w:rsid w:val="6ED9792B"/>
    <w:rsid w:val="6F502086"/>
    <w:rsid w:val="6F852BA1"/>
    <w:rsid w:val="6FD0395A"/>
    <w:rsid w:val="70807CBC"/>
    <w:rsid w:val="70CC2D56"/>
    <w:rsid w:val="71645191"/>
    <w:rsid w:val="71DB032D"/>
    <w:rsid w:val="72077373"/>
    <w:rsid w:val="723914F7"/>
    <w:rsid w:val="728C7879"/>
    <w:rsid w:val="73326672"/>
    <w:rsid w:val="77B7237B"/>
    <w:rsid w:val="7CAF2AE1"/>
    <w:rsid w:val="7DF32EA2"/>
    <w:rsid w:val="7DF764EE"/>
    <w:rsid w:val="7FE4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5">
    <w:name w:val="heading 4"/>
    <w:basedOn w:val="1"/>
    <w:next w:val="1"/>
    <w:qFormat/>
    <w:uiPriority w:val="0"/>
    <w:pPr>
      <w:keepNext/>
      <w:spacing w:line="460" w:lineRule="exact"/>
      <w:outlineLvl w:val="3"/>
    </w:pPr>
    <w:rPr>
      <w:rFonts w:ascii="宋体" w:hAnsi="宋体"/>
      <w:sz w:val="24"/>
      <w:szCs w:val="24"/>
    </w:rPr>
  </w:style>
  <w:style w:type="character" w:default="1" w:styleId="19">
    <w:name w:val="Default Paragraph Font"/>
    <w:qFormat/>
    <w:uiPriority w:val="1"/>
  </w:style>
  <w:style w:type="table" w:default="1" w:styleId="17">
    <w:name w:val="Normal Table"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7">
    <w:name w:val="Body Text"/>
    <w:basedOn w:val="1"/>
    <w:next w:val="8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Body Text First Indent"/>
    <w:basedOn w:val="7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  <w:style w:type="paragraph" w:styleId="9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toc 3"/>
    <w:basedOn w:val="1"/>
    <w:next w:val="1"/>
    <w:qFormat/>
    <w:uiPriority w:val="39"/>
    <w:pPr>
      <w:ind w:left="840" w:leftChars="400"/>
    </w:pPr>
  </w:style>
  <w:style w:type="paragraph" w:styleId="11">
    <w:name w:val="Plain Text"/>
    <w:basedOn w:val="1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26"/>
    <w:qFormat/>
    <w:uiPriority w:val="99"/>
    <w:rPr>
      <w:sz w:val="18"/>
      <w:szCs w:val="18"/>
    </w:rPr>
  </w:style>
  <w:style w:type="paragraph" w:styleId="1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toc 1"/>
    <w:basedOn w:val="1"/>
    <w:next w:val="1"/>
    <w:qFormat/>
    <w:uiPriority w:val="39"/>
    <w:pPr>
      <w:tabs>
        <w:tab w:val="right" w:leader="dot" w:pos="9231"/>
      </w:tabs>
      <w:spacing w:line="360" w:lineRule="auto"/>
    </w:pPr>
  </w:style>
  <w:style w:type="paragraph" w:styleId="1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0"/>
    <w:rPr>
      <w:b/>
      <w:bCs/>
    </w:rPr>
  </w:style>
  <w:style w:type="character" w:styleId="21">
    <w:name w:val="page number"/>
    <w:basedOn w:val="19"/>
    <w:qFormat/>
    <w:uiPriority w:val="0"/>
  </w:style>
  <w:style w:type="character" w:styleId="22">
    <w:name w:val="Hyperlink"/>
    <w:qFormat/>
    <w:uiPriority w:val="99"/>
    <w:rPr>
      <w:color w:val="0000FF"/>
      <w:u w:val="single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4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25">
    <w:name w:val="List Paragraph"/>
    <w:basedOn w:val="1"/>
    <w:qFormat/>
    <w:uiPriority w:val="34"/>
    <w:pPr>
      <w:ind w:firstLine="420" w:firstLineChars="200"/>
    </w:pPr>
  </w:style>
  <w:style w:type="character" w:customStyle="1" w:styleId="26">
    <w:name w:val="批注框文本 Char"/>
    <w:basedOn w:val="19"/>
    <w:link w:val="12"/>
    <w:qFormat/>
    <w:uiPriority w:val="99"/>
    <w:rPr>
      <w:sz w:val="18"/>
      <w:szCs w:val="18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8">
    <w:name w:val="正文 New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2"/>
      <w:lang w:val="en-US" w:eastAsia="zh-CN" w:bidi="ar-SA"/>
    </w:rPr>
  </w:style>
  <w:style w:type="paragraph" w:customStyle="1" w:styleId="29">
    <w:name w:val="（符号）二标题总则"/>
    <w:basedOn w:val="30"/>
    <w:qFormat/>
    <w:uiPriority w:val="99"/>
    <w:pPr>
      <w:numPr>
        <w:ilvl w:val="1"/>
        <w:numId w:val="0"/>
      </w:numPr>
      <w:spacing w:before="312" w:after="312"/>
      <w:ind w:left="0" w:firstLine="0"/>
    </w:pPr>
    <w:rPr>
      <w:rFonts w:ascii="宋体" w:hAnsi="宋体" w:eastAsia="宋体"/>
    </w:rPr>
  </w:style>
  <w:style w:type="paragraph" w:customStyle="1" w:styleId="30">
    <w:name w:val="(符号)一标题第一部分"/>
    <w:basedOn w:val="1"/>
    <w:qFormat/>
    <w:uiPriority w:val="99"/>
    <w:pPr>
      <w:numPr>
        <w:ilvl w:val="2"/>
        <w:numId w:val="1"/>
      </w:numPr>
      <w:tabs>
        <w:tab w:val="clear" w:pos="1142"/>
      </w:tabs>
      <w:suppressAutoHyphens w:val="0"/>
      <w:spacing w:beforeLines="100" w:afterLines="100" w:line="500" w:lineRule="exact"/>
      <w:ind w:left="0" w:firstLine="0"/>
      <w:jc w:val="center"/>
      <w:outlineLvl w:val="1"/>
    </w:pPr>
    <w:rPr>
      <w:rFonts w:ascii="黑体" w:eastAsia="黑体" w:cs="宋体"/>
      <w:b/>
      <w:bCs/>
      <w:kern w:val="2"/>
      <w:sz w:val="32"/>
      <w:szCs w:val="32"/>
      <w:lang w:eastAsia="zh-CN"/>
    </w:rPr>
  </w:style>
  <w:style w:type="paragraph" w:customStyle="1" w:styleId="31">
    <w:name w:val="(符号)四标题1.1"/>
    <w:basedOn w:val="1"/>
    <w:qFormat/>
    <w:uiPriority w:val="99"/>
    <w:pPr>
      <w:suppressAutoHyphens w:val="0"/>
      <w:spacing w:line="500" w:lineRule="exact"/>
    </w:pPr>
    <w:rPr>
      <w:rFonts w:ascii="宋体" w:hAnsi="宋体" w:cs="宋体"/>
      <w:color w:val="000000"/>
      <w:kern w:val="0"/>
      <w:sz w:val="24"/>
      <w:szCs w:val="20"/>
      <w:lang w:eastAsia="zh-CN"/>
    </w:rPr>
  </w:style>
  <w:style w:type="paragraph" w:customStyle="1" w:styleId="32">
    <w:name w:val="Body text|1"/>
    <w:basedOn w:val="1"/>
    <w:qFormat/>
    <w:uiPriority w:val="0"/>
    <w:pPr>
      <w:spacing w:line="420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3">
    <w:name w:val="Other|1"/>
    <w:basedOn w:val="1"/>
    <w:qFormat/>
    <w:uiPriority w:val="0"/>
    <w:pPr>
      <w:widowControl w:val="0"/>
      <w:shd w:val="clear" w:color="auto" w:fill="auto"/>
      <w:spacing w:line="425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1300</Words>
  <Characters>1382</Characters>
  <Paragraphs>427</Paragraphs>
  <TotalTime>4</TotalTime>
  <ScaleCrop>false</ScaleCrop>
  <LinksUpToDate>false</LinksUpToDate>
  <CharactersWithSpaces>2046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2020-07-24T03:01:00Z</dcterms:created>
  <dc:creator>Lenovo</dc:creator>
  <cp:lastModifiedBy>车崇武</cp:lastModifiedBy>
  <cp:lastPrinted>2026-06-02T01:08:00Z</cp:lastPrinted>
  <dcterms:modified xsi:type="dcterms:W3CDTF">2026-10-13T02:59:41Z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52A33D60831A4FDEAEA85385663A1CA8_13</vt:lpwstr>
  </property>
  <property fmtid="{D5CDD505-2E9C-101B-9397-08002B2CF9AE}" pid="4" name="KSOTemplateDocerSaveRecord">
    <vt:lpwstr>eyJoZGlkIjoiZDRiYzI5OTcwMTc0MGExYTg2MmNiYWMzMDE4MDdiY2MiLCJ1c2VySWQiOiIxNTk5MDMyODcyIn0=</vt:lpwstr>
  </property>
</Properties>
</file>