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56F439">
      <w:pPr>
        <w:pStyle w:val="11"/>
        <w:numPr>
          <w:ilvl w:val="0"/>
          <w:numId w:val="0"/>
        </w:numPr>
        <w:adjustRightInd w:val="0"/>
        <w:snapToGrid w:val="0"/>
        <w:ind w:leftChars="0" w:firstLine="3534" w:firstLineChars="800"/>
        <w:jc w:val="both"/>
        <w:rPr>
          <w:rFonts w:hint="eastAsia" w:ascii="宋体"/>
          <w:b/>
          <w:bCs/>
          <w:sz w:val="36"/>
          <w:szCs w:val="36"/>
          <w:lang w:val="en-US" w:eastAsia="zh-CN"/>
        </w:rPr>
      </w:pPr>
      <w:r>
        <w:rPr>
          <w:rFonts w:hint="eastAsia" w:ascii="宋体"/>
          <w:b/>
          <w:bCs/>
          <w:sz w:val="44"/>
          <w:szCs w:val="44"/>
          <w:lang w:val="en-US" w:eastAsia="zh-CN"/>
        </w:rPr>
        <w:t>评分办法</w:t>
      </w:r>
    </w:p>
    <w:p w14:paraId="32DAC199">
      <w:pPr>
        <w:pStyle w:val="11"/>
        <w:numPr>
          <w:ilvl w:val="0"/>
          <w:numId w:val="0"/>
        </w:numPr>
        <w:adjustRightInd w:val="0"/>
        <w:snapToGrid w:val="0"/>
        <w:ind w:leftChars="0"/>
        <w:jc w:val="both"/>
        <w:rPr>
          <w:rFonts w:hint="default" w:eastAsia="宋体"/>
          <w:szCs w:val="24"/>
          <w:lang w:val="en-US" w:eastAsia="zh-CN"/>
        </w:rPr>
      </w:pPr>
      <w:r>
        <w:rPr>
          <w:rFonts w:hint="eastAsia"/>
          <w:szCs w:val="24"/>
          <w:lang w:val="en-US" w:eastAsia="zh-CN"/>
        </w:rPr>
        <w:t xml:space="preserve">                                                 </w:t>
      </w:r>
    </w:p>
    <w:tbl>
      <w:tblPr>
        <w:tblStyle w:val="16"/>
        <w:tblW w:w="607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8"/>
        <w:gridCol w:w="7389"/>
        <w:gridCol w:w="578"/>
        <w:gridCol w:w="448"/>
      </w:tblGrid>
      <w:tr w14:paraId="1C7A2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083" w:type="pct"/>
            <w:vAlign w:val="center"/>
          </w:tcPr>
          <w:p w14:paraId="71AD146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项目及分值</w:t>
            </w:r>
          </w:p>
        </w:tc>
        <w:tc>
          <w:tcPr>
            <w:tcW w:w="3439" w:type="pct"/>
            <w:vAlign w:val="center"/>
          </w:tcPr>
          <w:p w14:paraId="1D668D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530" w:firstLineChars="1050"/>
              <w:jc w:val="both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评分标准</w:t>
            </w:r>
          </w:p>
        </w:tc>
        <w:tc>
          <w:tcPr>
            <w:tcW w:w="268" w:type="pct"/>
            <w:vAlign w:val="center"/>
          </w:tcPr>
          <w:p w14:paraId="274341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分值标准</w:t>
            </w:r>
          </w:p>
        </w:tc>
        <w:tc>
          <w:tcPr>
            <w:tcW w:w="208" w:type="pct"/>
            <w:vAlign w:val="center"/>
          </w:tcPr>
          <w:p w14:paraId="52C7DC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实际得分</w:t>
            </w:r>
          </w:p>
        </w:tc>
      </w:tr>
      <w:tr w14:paraId="24BD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083" w:type="pct"/>
            <w:vAlign w:val="center"/>
          </w:tcPr>
          <w:p w14:paraId="74A1DE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报价分</w:t>
            </w:r>
          </w:p>
        </w:tc>
        <w:tc>
          <w:tcPr>
            <w:tcW w:w="3439" w:type="pct"/>
            <w:vAlign w:val="center"/>
          </w:tcPr>
          <w:p w14:paraId="2EDB40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采用代理服务费优惠率报价，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参照黔招协〔2025〕35号文件执行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 xml:space="preserve">，在合理区间内横向比价，兼顾服务质量与成本，避免恶性低价竞争： </w:t>
            </w:r>
          </w:p>
          <w:p w14:paraId="7691661D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优惠率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大于</w:t>
            </w:r>
            <w:r>
              <w:rPr>
                <w:rFonts w:hint="default" w:ascii="Arial" w:hAnsi="Arial" w:eastAsia="等线" w:cs="Arial"/>
                <w:sz w:val="22"/>
              </w:rPr>
              <w:t>30%，报价合理稳健，得15-20分；</w:t>
            </w:r>
          </w:p>
          <w:p w14:paraId="6841AD19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优惠率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10</w:t>
            </w:r>
            <w:r>
              <w:rPr>
                <w:rFonts w:hint="default" w:ascii="Arial" w:hAnsi="Arial" w:eastAsia="等线" w:cs="Arial"/>
                <w:sz w:val="22"/>
              </w:rPr>
              <w:t>%–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30</w:t>
            </w:r>
            <w:r>
              <w:rPr>
                <w:rFonts w:hint="default" w:ascii="Arial" w:hAnsi="Arial" w:eastAsia="等线" w:cs="Arial"/>
                <w:sz w:val="22"/>
              </w:rPr>
              <w:t>%（不含），报价适中，得7-14分；</w:t>
            </w:r>
          </w:p>
          <w:p w14:paraId="5B211B79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3. 优惠率＜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10</w:t>
            </w:r>
            <w:r>
              <w:rPr>
                <w:rFonts w:hint="default" w:ascii="Arial" w:hAnsi="Arial" w:eastAsia="等线" w:cs="Arial"/>
                <w:sz w:val="22"/>
              </w:rPr>
              <w:t>%，报价不合理，得6-8分；</w:t>
            </w:r>
          </w:p>
          <w:p w14:paraId="4A4C80C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default" w:ascii="Arial" w:hAnsi="Arial" w:eastAsia="等线" w:cs="Arial"/>
                <w:sz w:val="22"/>
              </w:rPr>
              <w:t>4. 优惠率＞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8</w:t>
            </w:r>
            <w:r>
              <w:rPr>
                <w:rFonts w:hint="default" w:ascii="Arial" w:hAnsi="Arial" w:eastAsia="等线" w:cs="Arial"/>
                <w:sz w:val="22"/>
              </w:rPr>
              <w:t>0%，启动异常低价核查，参选单位无法举证成本合理性的，按无效竞选处理。</w:t>
            </w:r>
          </w:p>
        </w:tc>
        <w:tc>
          <w:tcPr>
            <w:tcW w:w="268" w:type="pct"/>
            <w:vAlign w:val="center"/>
          </w:tcPr>
          <w:p w14:paraId="704828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  <w:t>分</w:t>
            </w:r>
          </w:p>
        </w:tc>
        <w:tc>
          <w:tcPr>
            <w:tcW w:w="208" w:type="pct"/>
            <w:vAlign w:val="center"/>
          </w:tcPr>
          <w:p w14:paraId="055135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7B795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83" w:type="pct"/>
            <w:vAlign w:val="center"/>
          </w:tcPr>
          <w:p w14:paraId="63CB55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办公场所合规性</w:t>
            </w:r>
          </w:p>
        </w:tc>
        <w:tc>
          <w:tcPr>
            <w:tcW w:w="3439" w:type="pct"/>
            <w:vAlign w:val="center"/>
          </w:tcPr>
          <w:p w14:paraId="32572163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  <w:b/>
                <w:bCs/>
              </w:rPr>
            </w:pPr>
            <w:r>
              <w:rPr>
                <w:rFonts w:hint="default" w:ascii="Arial" w:hAnsi="Arial" w:eastAsia="等线" w:cs="Arial"/>
                <w:b/>
                <w:bCs/>
                <w:sz w:val="22"/>
              </w:rPr>
              <w:t>自有</w:t>
            </w:r>
            <w:r>
              <w:rPr>
                <w:rFonts w:hint="eastAsia" w:ascii="Arial" w:hAnsi="Arial" w:eastAsia="等线" w:cs="Arial"/>
                <w:b/>
                <w:bCs/>
                <w:sz w:val="22"/>
                <w:lang w:val="en-US" w:eastAsia="zh-CN"/>
              </w:rPr>
              <w:t>办公</w:t>
            </w:r>
            <w:r>
              <w:rPr>
                <w:rFonts w:hint="default" w:ascii="Arial" w:hAnsi="Arial" w:eastAsia="等线" w:cs="Arial"/>
                <w:b/>
                <w:bCs/>
                <w:sz w:val="22"/>
              </w:rPr>
              <w:t>场地提供产权/购房合同；租赁场地提供租赁合同+出租方产权或授权文件，材料加盖公章，不限地域。</w:t>
            </w:r>
          </w:p>
          <w:p w14:paraId="07D39B09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具备固定独立办公场所，档案存放场地，材料齐全，得5分；</w:t>
            </w:r>
          </w:p>
          <w:p w14:paraId="11695259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具备固定办公场所、材料齐全，无完整配套档案场地，得2分；</w:t>
            </w:r>
          </w:p>
          <w:p w14:paraId="7C593911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Arial" w:hAnsi="Arial" w:eastAsia="等线" w:cs="Arial"/>
                <w:sz w:val="22"/>
              </w:rPr>
              <w:t>3. 无固定办公场所或佐证材料无效，得0分。</w:t>
            </w:r>
          </w:p>
        </w:tc>
        <w:tc>
          <w:tcPr>
            <w:tcW w:w="268" w:type="pct"/>
            <w:vAlign w:val="center"/>
          </w:tcPr>
          <w:p w14:paraId="4F2DE9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5分</w:t>
            </w:r>
          </w:p>
        </w:tc>
        <w:tc>
          <w:tcPr>
            <w:tcW w:w="208" w:type="pct"/>
            <w:vAlign w:val="center"/>
          </w:tcPr>
          <w:p w14:paraId="7012C5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4B754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  <w:jc w:val="center"/>
        </w:trPr>
        <w:tc>
          <w:tcPr>
            <w:tcW w:w="1083" w:type="pct"/>
            <w:vAlign w:val="center"/>
          </w:tcPr>
          <w:p w14:paraId="1E6343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  <w:t>项目负责人</w:t>
            </w:r>
          </w:p>
        </w:tc>
        <w:tc>
          <w:tcPr>
            <w:tcW w:w="3439" w:type="pct"/>
            <w:vAlign w:val="center"/>
          </w:tcPr>
          <w:p w14:paraId="6EC2952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  <w:b/>
                <w:bCs/>
              </w:rPr>
            </w:pPr>
            <w:r>
              <w:rPr>
                <w:rFonts w:hint="default" w:ascii="Arial" w:hAnsi="Arial" w:eastAsia="等线" w:cs="Arial"/>
                <w:b/>
                <w:bCs/>
                <w:sz w:val="22"/>
              </w:rPr>
              <w:t>提供负责人近12个月任意3个月社保、从业经历及招标代理/政府采购业绩公示截图、公告等佐证材料。</w:t>
            </w:r>
          </w:p>
          <w:p w14:paraId="64ECD2D5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社保、从业及业绩材料齐全有效，得10分；</w:t>
            </w:r>
          </w:p>
          <w:p w14:paraId="29C40A4D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社保齐全，从业或业绩佐证不全，每项扣3分，扣完为止；</w:t>
            </w:r>
          </w:p>
          <w:p w14:paraId="024009DA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default" w:ascii="Arial" w:hAnsi="Arial" w:eastAsia="等线" w:cs="Arial"/>
                <w:sz w:val="22"/>
              </w:rPr>
              <w:t>3. 无社保佐证、非本单位在职、无从业及业绩材料，得0分。</w:t>
            </w:r>
          </w:p>
        </w:tc>
        <w:tc>
          <w:tcPr>
            <w:tcW w:w="268" w:type="pct"/>
            <w:vAlign w:val="center"/>
          </w:tcPr>
          <w:p w14:paraId="786CAE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10分</w:t>
            </w:r>
          </w:p>
        </w:tc>
        <w:tc>
          <w:tcPr>
            <w:tcW w:w="208" w:type="pct"/>
            <w:vAlign w:val="center"/>
          </w:tcPr>
          <w:p w14:paraId="55EDF603">
            <w:pPr>
              <w:keepNext w:val="0"/>
              <w:keepLines w:val="0"/>
              <w:suppressLineNumbers w:val="0"/>
              <w:bidi w:val="0"/>
              <w:spacing w:before="0" w:beforeAutospacing="0" w:after="0" w:afterAutospacing="0"/>
              <w:ind w:left="0" w:right="0" w:firstLine="257" w:firstLineChars="0"/>
              <w:jc w:val="left"/>
              <w:rPr>
                <w:rFonts w:hint="default" w:ascii="Calibri" w:hAnsi="Calibri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414AF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083" w:type="pct"/>
            <w:vAlign w:val="center"/>
          </w:tcPr>
          <w:p w14:paraId="6C19F4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机构实力</w:t>
            </w:r>
          </w:p>
        </w:tc>
        <w:tc>
          <w:tcPr>
            <w:tcW w:w="3439" w:type="pct"/>
            <w:vAlign w:val="center"/>
          </w:tcPr>
          <w:p w14:paraId="5503049E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Arial" w:hAnsi="Arial" w:eastAsia="等线" w:cs="Arial"/>
                <w:b/>
                <w:bCs/>
                <w:sz w:val="22"/>
              </w:rPr>
            </w:pPr>
            <w:r>
              <w:rPr>
                <w:rFonts w:hint="eastAsia" w:ascii="Arial" w:hAnsi="Arial" w:eastAsia="等线" w:cs="Arial"/>
                <w:b/>
                <w:bCs/>
                <w:sz w:val="22"/>
              </w:rPr>
              <w:t>机构综合实力</w:t>
            </w:r>
          </w:p>
          <w:p w14:paraId="19D82754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提供质量管理、档案管理、风险防控、廉洁自律、内控制度文件（加盖公章）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14分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。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 xml:space="preserve"> 五项制度齐全规范，得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分；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 xml:space="preserve"> 缺1项扣2分，扣完为止；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无制度得0分。</w:t>
            </w:r>
          </w:p>
          <w:p w14:paraId="731EF79E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提供电子化招标、服务相关佐证截图及说明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6分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。</w:t>
            </w:r>
          </w:p>
          <w:p w14:paraId="33A7FC19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熟悉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电子化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交易全流程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服务能力，材料齐全，得6分；</w:t>
            </w:r>
          </w:p>
          <w:p w14:paraId="72F8A89E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基本熟悉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电子化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交易全流程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服务能力，无完整远程服务能力，得3分；</w:t>
            </w:r>
          </w:p>
          <w:p w14:paraId="3D6F84D5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</w:rPr>
              <w:t>无相关能力及佐证，得0分</w:t>
            </w:r>
          </w:p>
        </w:tc>
        <w:tc>
          <w:tcPr>
            <w:tcW w:w="268" w:type="pct"/>
            <w:vAlign w:val="center"/>
          </w:tcPr>
          <w:p w14:paraId="1C5CE5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20分</w:t>
            </w:r>
          </w:p>
        </w:tc>
        <w:tc>
          <w:tcPr>
            <w:tcW w:w="208" w:type="pct"/>
            <w:vAlign w:val="center"/>
          </w:tcPr>
          <w:p w14:paraId="00834E83">
            <w:pPr>
              <w:keepNext w:val="0"/>
              <w:keepLines w:val="0"/>
              <w:suppressLineNumbers w:val="0"/>
              <w:bidi w:val="0"/>
              <w:spacing w:before="0" w:beforeAutospacing="0" w:after="0" w:afterAutospacing="0"/>
              <w:ind w:left="0" w:right="0" w:firstLine="257" w:firstLineChars="0"/>
              <w:jc w:val="left"/>
              <w:rPr>
                <w:rFonts w:hint="default" w:ascii="Calibri" w:hAnsi="Calibri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60892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1" w:hRule="atLeast"/>
          <w:jc w:val="center"/>
        </w:trPr>
        <w:tc>
          <w:tcPr>
            <w:tcW w:w="1083" w:type="pct"/>
            <w:vAlign w:val="center"/>
          </w:tcPr>
          <w:p w14:paraId="690AAD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专业服务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  <w:t>团队</w:t>
            </w:r>
          </w:p>
        </w:tc>
        <w:tc>
          <w:tcPr>
            <w:tcW w:w="3439" w:type="pct"/>
            <w:vAlign w:val="center"/>
          </w:tcPr>
          <w:p w14:paraId="1301B31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  <w:b/>
                <w:bCs/>
              </w:rPr>
            </w:pPr>
            <w:r>
              <w:rPr>
                <w:rFonts w:hint="default" w:ascii="Arial" w:hAnsi="Arial" w:eastAsia="等线" w:cs="Arial"/>
                <w:b/>
                <w:bCs/>
                <w:sz w:val="22"/>
              </w:rPr>
              <w:t>拟投入团队不少于3人（项目负责人1名、专职经办人≥2名），提供团队名单、岗位职责、人员佐证及社保材料。</w:t>
            </w:r>
          </w:p>
          <w:p w14:paraId="137E96AD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团队配置（6分）：人员数量达标、岗位职责全覆盖，得6分；人员达标岗位不全得3分；人员不足得0分。</w:t>
            </w:r>
          </w:p>
          <w:p w14:paraId="16A73AEA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专业能力（6分）：团队成员（含负责人）具备相关从业/培训/业绩佐证，每人合格得2分，满分6分。</w:t>
            </w:r>
          </w:p>
          <w:p w14:paraId="67BB0F6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3. 在岗保障（3分）：团队全员提供近12个月任意3个月社保，齐全得3分，缺1人扣1分，扣完为止。</w:t>
            </w:r>
            <w:bookmarkStart w:id="0" w:name="_GoBack"/>
            <w:bookmarkEnd w:id="0"/>
          </w:p>
          <w:p w14:paraId="19FBDF3C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right="0" w:rightChars="0" w:firstLine="211" w:firstLineChars="100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8" w:type="pct"/>
            <w:vAlign w:val="center"/>
          </w:tcPr>
          <w:p w14:paraId="5C0EEA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15分</w:t>
            </w:r>
          </w:p>
        </w:tc>
        <w:tc>
          <w:tcPr>
            <w:tcW w:w="208" w:type="pct"/>
            <w:vAlign w:val="center"/>
          </w:tcPr>
          <w:p w14:paraId="0C0A01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7A1B1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8" w:hRule="atLeast"/>
          <w:jc w:val="center"/>
        </w:trPr>
        <w:tc>
          <w:tcPr>
            <w:tcW w:w="1083" w:type="pct"/>
            <w:vAlign w:val="center"/>
          </w:tcPr>
          <w:p w14:paraId="0B0D0A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业绩</w:t>
            </w:r>
          </w:p>
        </w:tc>
        <w:tc>
          <w:tcPr>
            <w:tcW w:w="3439" w:type="pct"/>
            <w:vAlign w:val="center"/>
          </w:tcPr>
          <w:p w14:paraId="2B644EFF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  <w:b/>
                <w:bCs/>
              </w:rPr>
            </w:pPr>
            <w:r>
              <w:rPr>
                <w:rFonts w:hint="default" w:ascii="Arial" w:hAnsi="Arial" w:eastAsia="等线" w:cs="Arial"/>
                <w:b/>
                <w:bCs/>
                <w:sz w:val="22"/>
              </w:rPr>
              <w:t>统计周期：公告发布之日起倒算3年；货物、服务、工程类招标代理业绩均认可。每项业绩需同时提供代理合同+平台公示截图，加盖公章；本部业绩计分，分公司、联合体业绩不计，不重复计分。</w:t>
            </w:r>
          </w:p>
          <w:p w14:paraId="76658670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有效同类业绩3项及以上，得10分；</w:t>
            </w:r>
          </w:p>
          <w:p w14:paraId="355597C6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有效同类业绩1-2项，得5分；</w:t>
            </w:r>
          </w:p>
          <w:p w14:paraId="2CCE26D5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3. 无有效业绩，得0分。</w:t>
            </w:r>
          </w:p>
          <w:p w14:paraId="5D37846F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239" w:leftChars="114" w:right="0" w:firstLine="0" w:firstLineChars="0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68" w:type="pct"/>
            <w:vAlign w:val="center"/>
          </w:tcPr>
          <w:p w14:paraId="1E6098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10分</w:t>
            </w:r>
          </w:p>
        </w:tc>
        <w:tc>
          <w:tcPr>
            <w:tcW w:w="208" w:type="pct"/>
            <w:vAlign w:val="center"/>
          </w:tcPr>
          <w:p w14:paraId="4A20D4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645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</w:tr>
      <w:tr w14:paraId="4990E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5" w:hRule="atLeast"/>
          <w:jc w:val="center"/>
        </w:trPr>
        <w:tc>
          <w:tcPr>
            <w:tcW w:w="1083" w:type="pct"/>
            <w:vAlign w:val="center"/>
          </w:tcPr>
          <w:p w14:paraId="554B58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shd w:val="clear" w:color="auto" w:fill="FFFFFF"/>
              </w:rPr>
              <w:t>代理服务方案</w:t>
            </w:r>
          </w:p>
        </w:tc>
        <w:tc>
          <w:tcPr>
            <w:tcW w:w="3439" w:type="pct"/>
            <w:vAlign w:val="center"/>
          </w:tcPr>
          <w:p w14:paraId="4F1CC79F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left"/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方案须包含：服务流程、时间管控、合规风控、异议投诉处理、保密管理、廉洁承诺、应急保障、电子化服务八大模块，要求可量化、可落地、可考核。</w:t>
            </w:r>
          </w:p>
          <w:p w14:paraId="6055C363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1. 八大模块齐全，措施量化、时限明确、针对性强、可直接落地，得16-20分；</w:t>
            </w:r>
          </w:p>
          <w:p w14:paraId="0BE74662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2. 八大模块齐全，框架完整，部分细节未量化，基本满足需求，得8-15分；</w:t>
            </w:r>
          </w:p>
          <w:p w14:paraId="47ED465B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default" w:ascii="Arial" w:hAnsi="Arial" w:eastAsia="等线" w:cs="Arial"/>
                <w:sz w:val="22"/>
              </w:rPr>
              <w:t>3. 缺失模块或内容简略、针对性弱、可操作性差，得1-7分；</w:t>
            </w:r>
          </w:p>
          <w:p w14:paraId="741E8AD8">
            <w:pPr>
              <w:keepNext w:val="0"/>
              <w:keepLines w:val="0"/>
              <w:suppressLineNumbers w:val="0"/>
              <w:spacing w:before="120" w:beforeAutospacing="0" w:after="120" w:afterAutospacing="0" w:line="288" w:lineRule="auto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Arial" w:hAnsi="Arial" w:eastAsia="等线" w:cs="Arial"/>
                <w:sz w:val="22"/>
              </w:rPr>
              <w:t>4. 未提供方案，得0分。</w:t>
            </w:r>
          </w:p>
        </w:tc>
        <w:tc>
          <w:tcPr>
            <w:tcW w:w="268" w:type="pct"/>
            <w:vAlign w:val="center"/>
          </w:tcPr>
          <w:p w14:paraId="26D732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20分</w:t>
            </w:r>
          </w:p>
        </w:tc>
        <w:tc>
          <w:tcPr>
            <w:tcW w:w="208" w:type="pct"/>
            <w:vAlign w:val="center"/>
          </w:tcPr>
          <w:p w14:paraId="4A1838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645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698B3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522" w:type="pct"/>
            <w:gridSpan w:val="2"/>
            <w:vAlign w:val="center"/>
          </w:tcPr>
          <w:p w14:paraId="6EA63D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outlineLvl w:val="1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  <w:t>总    分</w:t>
            </w:r>
          </w:p>
        </w:tc>
        <w:tc>
          <w:tcPr>
            <w:tcW w:w="477" w:type="pct"/>
            <w:gridSpan w:val="2"/>
            <w:vAlign w:val="center"/>
          </w:tcPr>
          <w:p w14:paraId="548E3D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  <w:t>100分</w:t>
            </w:r>
          </w:p>
        </w:tc>
      </w:tr>
    </w:tbl>
    <w:p w14:paraId="43B15C01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要求</w:t>
      </w:r>
      <w:r>
        <w:rPr>
          <w:rFonts w:hint="eastAsia" w:ascii="Arial" w:hAnsi="Arial" w:eastAsia="等线" w:cs="Arial"/>
          <w:b/>
          <w:sz w:val="32"/>
          <w:lang w:eastAsia="zh-CN"/>
        </w:rPr>
        <w:t>：</w:t>
      </w:r>
      <w:r>
        <w:rPr>
          <w:rFonts w:ascii="Arial" w:hAnsi="Arial" w:eastAsia="等线" w:cs="Arial"/>
          <w:sz w:val="22"/>
        </w:rPr>
        <w:t>所有佐证材料须真实有效、加盖参选单位公章，弄虚作假取消参选资格。</w:t>
      </w:r>
    </w:p>
    <w:p w14:paraId="4FBF0A7C">
      <w:pPr>
        <w:jc w:val="left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486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0B265">
    <w:pPr>
      <w:pStyle w:val="13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0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64EC9B17">
                          <w:pPr>
                            <w:pStyle w:val="1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76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81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40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Ll1uVLQAAAABQEAAA8AAAAAAAAAAQAgAAAAIgAAAGRycy9kb3ducmV2LnhtbFBL&#10;AQIUABQAAAAIAIdO4kD0dXM9xQEAAIoDAAAOAAAAAAAAAAEAIAAAAB8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4EC9B17">
                    <w:pPr>
                      <w:pStyle w:val="1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76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81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CEA23F">
    <w:pPr>
      <w:pStyle w:val="7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30" w:hanging="430"/>
      </w:pPr>
      <w:rPr>
        <w:rFonts w:hint="eastAsia" w:cs="Times New Roman"/>
      </w:rPr>
    </w:lvl>
    <w:lvl w:ilvl="1" w:tentative="0">
      <w:start w:val="1"/>
      <w:numFmt w:val="decimal"/>
      <w:lvlText w:val="%1.%2"/>
      <w:lvlJc w:val="left"/>
      <w:pPr>
        <w:tabs>
          <w:tab w:val="left" w:pos="700"/>
        </w:tabs>
        <w:ind w:left="700" w:hanging="700"/>
      </w:pPr>
      <w:rPr>
        <w:rFonts w:hint="eastAsia" w:cs="Times New Roman"/>
        <w:sz w:val="24"/>
        <w:szCs w:val="24"/>
      </w:rPr>
    </w:lvl>
    <w:lvl w:ilvl="2" w:tentative="0">
      <w:start w:val="1"/>
      <w:numFmt w:val="decimal"/>
      <w:pStyle w:val="29"/>
      <w:lvlText w:val="%1.%2.%3"/>
      <w:lvlJc w:val="left"/>
      <w:pPr>
        <w:tabs>
          <w:tab w:val="left" w:pos="1142"/>
        </w:tabs>
        <w:ind w:left="1142" w:hanging="1000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1984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wMTJlMmRhOGJlYmViZjM4YjJhNjZjNTFkZDU4N2IifQ=="/>
  </w:docVars>
  <w:rsids>
    <w:rsidRoot w:val="00000000"/>
    <w:rsid w:val="00D64AE1"/>
    <w:rsid w:val="018D0F17"/>
    <w:rsid w:val="05103533"/>
    <w:rsid w:val="05174876"/>
    <w:rsid w:val="05B33FDB"/>
    <w:rsid w:val="06DD06DB"/>
    <w:rsid w:val="076B3AA9"/>
    <w:rsid w:val="085B1D6F"/>
    <w:rsid w:val="092D54BA"/>
    <w:rsid w:val="09BE4AF5"/>
    <w:rsid w:val="0A2E5B74"/>
    <w:rsid w:val="0A4D693B"/>
    <w:rsid w:val="0C790A16"/>
    <w:rsid w:val="0D0E5602"/>
    <w:rsid w:val="0D1F3577"/>
    <w:rsid w:val="0D80268F"/>
    <w:rsid w:val="0E864717"/>
    <w:rsid w:val="0F283452"/>
    <w:rsid w:val="0FB56209"/>
    <w:rsid w:val="0FF07241"/>
    <w:rsid w:val="11A77DD3"/>
    <w:rsid w:val="11AD25D1"/>
    <w:rsid w:val="122B27B2"/>
    <w:rsid w:val="12AC6FE5"/>
    <w:rsid w:val="13531FC1"/>
    <w:rsid w:val="13C47C7A"/>
    <w:rsid w:val="13F35307"/>
    <w:rsid w:val="142B4CEC"/>
    <w:rsid w:val="145A737F"/>
    <w:rsid w:val="161E788B"/>
    <w:rsid w:val="182E4DAB"/>
    <w:rsid w:val="18A72311"/>
    <w:rsid w:val="18FA4C8D"/>
    <w:rsid w:val="1AAC630A"/>
    <w:rsid w:val="1B440895"/>
    <w:rsid w:val="1EE91A2B"/>
    <w:rsid w:val="203E1903"/>
    <w:rsid w:val="203E7B55"/>
    <w:rsid w:val="20CC33B3"/>
    <w:rsid w:val="20EE50D7"/>
    <w:rsid w:val="217F5F4C"/>
    <w:rsid w:val="2247369D"/>
    <w:rsid w:val="228F6382"/>
    <w:rsid w:val="23614286"/>
    <w:rsid w:val="23B07675"/>
    <w:rsid w:val="259F1096"/>
    <w:rsid w:val="27231852"/>
    <w:rsid w:val="27AC7A9A"/>
    <w:rsid w:val="27B0758A"/>
    <w:rsid w:val="28066B9B"/>
    <w:rsid w:val="28BC1F5F"/>
    <w:rsid w:val="2A2102CB"/>
    <w:rsid w:val="2B557D72"/>
    <w:rsid w:val="2C271DE5"/>
    <w:rsid w:val="2C792640"/>
    <w:rsid w:val="2D114C89"/>
    <w:rsid w:val="2D873B5A"/>
    <w:rsid w:val="2F9B5F17"/>
    <w:rsid w:val="30AA1085"/>
    <w:rsid w:val="30F77FD8"/>
    <w:rsid w:val="30FC5EF3"/>
    <w:rsid w:val="319A2B6E"/>
    <w:rsid w:val="326A117D"/>
    <w:rsid w:val="32EC5C70"/>
    <w:rsid w:val="34CF7153"/>
    <w:rsid w:val="355C2D86"/>
    <w:rsid w:val="36541A28"/>
    <w:rsid w:val="386F48F8"/>
    <w:rsid w:val="38F03CD4"/>
    <w:rsid w:val="39186D3D"/>
    <w:rsid w:val="397D1296"/>
    <w:rsid w:val="3A0D44AA"/>
    <w:rsid w:val="3A2937CE"/>
    <w:rsid w:val="3C40227C"/>
    <w:rsid w:val="3D960B78"/>
    <w:rsid w:val="3E8D3761"/>
    <w:rsid w:val="3F021A0C"/>
    <w:rsid w:val="3FDD2E74"/>
    <w:rsid w:val="405475ED"/>
    <w:rsid w:val="40CA3013"/>
    <w:rsid w:val="419A2B5E"/>
    <w:rsid w:val="41BB295C"/>
    <w:rsid w:val="426F0F98"/>
    <w:rsid w:val="443C4228"/>
    <w:rsid w:val="450C295C"/>
    <w:rsid w:val="45CF4C28"/>
    <w:rsid w:val="45D83C0E"/>
    <w:rsid w:val="461A34E7"/>
    <w:rsid w:val="46A57FC7"/>
    <w:rsid w:val="46B73B98"/>
    <w:rsid w:val="471C3E9C"/>
    <w:rsid w:val="47BD18C7"/>
    <w:rsid w:val="49FE1F7F"/>
    <w:rsid w:val="4D243AAB"/>
    <w:rsid w:val="4D886C44"/>
    <w:rsid w:val="4DDF79D2"/>
    <w:rsid w:val="509A21B8"/>
    <w:rsid w:val="51AC22C1"/>
    <w:rsid w:val="528374C6"/>
    <w:rsid w:val="53AC65A8"/>
    <w:rsid w:val="551D485B"/>
    <w:rsid w:val="55C6580E"/>
    <w:rsid w:val="577B4C0F"/>
    <w:rsid w:val="593877E0"/>
    <w:rsid w:val="59561490"/>
    <w:rsid w:val="59BA2983"/>
    <w:rsid w:val="59DB3FF6"/>
    <w:rsid w:val="5AEC6705"/>
    <w:rsid w:val="5BB701E0"/>
    <w:rsid w:val="5C7A1CEA"/>
    <w:rsid w:val="60575AEE"/>
    <w:rsid w:val="60597AB8"/>
    <w:rsid w:val="60AD4A95"/>
    <w:rsid w:val="62634C1E"/>
    <w:rsid w:val="626A44D0"/>
    <w:rsid w:val="62CE653B"/>
    <w:rsid w:val="63A530F0"/>
    <w:rsid w:val="652A37D1"/>
    <w:rsid w:val="6660394E"/>
    <w:rsid w:val="66B15F58"/>
    <w:rsid w:val="670C5884"/>
    <w:rsid w:val="685F7C35"/>
    <w:rsid w:val="6A3D3FA6"/>
    <w:rsid w:val="6BC93D43"/>
    <w:rsid w:val="6CE03893"/>
    <w:rsid w:val="6E2C3796"/>
    <w:rsid w:val="6ED9792B"/>
    <w:rsid w:val="6F502086"/>
    <w:rsid w:val="6F852BA1"/>
    <w:rsid w:val="6FD0395A"/>
    <w:rsid w:val="70807CBC"/>
    <w:rsid w:val="70CC2D56"/>
    <w:rsid w:val="71645191"/>
    <w:rsid w:val="71DB032D"/>
    <w:rsid w:val="72077373"/>
    <w:rsid w:val="723914F7"/>
    <w:rsid w:val="728C7879"/>
    <w:rsid w:val="73326672"/>
    <w:rsid w:val="77B7237B"/>
    <w:rsid w:val="7CAF2AE1"/>
    <w:rsid w:val="7DF32EA2"/>
    <w:rsid w:val="7DF764EE"/>
    <w:rsid w:val="7FE4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4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paragraph" w:styleId="5">
    <w:name w:val="heading 4"/>
    <w:basedOn w:val="1"/>
    <w:next w:val="1"/>
    <w:qFormat/>
    <w:uiPriority w:val="0"/>
    <w:pPr>
      <w:keepNext/>
      <w:spacing w:line="460" w:lineRule="exact"/>
      <w:outlineLvl w:val="3"/>
    </w:pPr>
    <w:rPr>
      <w:rFonts w:ascii="宋体" w:hAnsi="宋体"/>
      <w:sz w:val="24"/>
      <w:szCs w:val="24"/>
    </w:rPr>
  </w:style>
  <w:style w:type="character" w:default="1" w:styleId="18">
    <w:name w:val="Default Paragraph Font"/>
    <w:qFormat/>
    <w:uiPriority w:val="1"/>
  </w:style>
  <w:style w:type="table" w:default="1" w:styleId="16">
    <w:name w:val="Normal Table"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7">
    <w:name w:val="Body Text"/>
    <w:basedOn w:val="1"/>
    <w:next w:val="8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Body Text First Indent"/>
    <w:basedOn w:val="7"/>
    <w:qFormat/>
    <w:uiPriority w:val="0"/>
    <w:pPr>
      <w:spacing w:after="0"/>
      <w:ind w:firstLine="420" w:firstLineChars="100"/>
    </w:pPr>
    <w:rPr>
      <w:rFonts w:ascii="Arial" w:hAnsi="Arial"/>
      <w:color w:val="000000"/>
    </w:rPr>
  </w:style>
  <w:style w:type="paragraph" w:styleId="9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toc 3"/>
    <w:basedOn w:val="1"/>
    <w:next w:val="1"/>
    <w:qFormat/>
    <w:uiPriority w:val="39"/>
    <w:pPr>
      <w:ind w:left="840" w:leftChars="400"/>
    </w:pPr>
  </w:style>
  <w:style w:type="paragraph" w:styleId="11">
    <w:name w:val="Plain Text"/>
    <w:basedOn w:val="1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25"/>
    <w:qFormat/>
    <w:uiPriority w:val="99"/>
    <w:rPr>
      <w:sz w:val="18"/>
      <w:szCs w:val="18"/>
    </w:rPr>
  </w:style>
  <w:style w:type="paragraph" w:styleId="1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5">
    <w:name w:val="toc 1"/>
    <w:basedOn w:val="1"/>
    <w:next w:val="1"/>
    <w:qFormat/>
    <w:uiPriority w:val="39"/>
    <w:pPr>
      <w:tabs>
        <w:tab w:val="right" w:leader="dot" w:pos="9231"/>
      </w:tabs>
      <w:spacing w:line="360" w:lineRule="auto"/>
    </w:pPr>
  </w:style>
  <w:style w:type="table" w:styleId="17">
    <w:name w:val="Table Grid"/>
    <w:basedOn w:val="1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Strong"/>
    <w:basedOn w:val="18"/>
    <w:qFormat/>
    <w:uiPriority w:val="0"/>
    <w:rPr>
      <w:b/>
      <w:bCs/>
    </w:rPr>
  </w:style>
  <w:style w:type="character" w:styleId="20">
    <w:name w:val="page number"/>
    <w:basedOn w:val="18"/>
    <w:qFormat/>
    <w:uiPriority w:val="0"/>
  </w:style>
  <w:style w:type="character" w:styleId="21">
    <w:name w:val="Hyperlink"/>
    <w:qFormat/>
    <w:uiPriority w:val="99"/>
    <w:rPr>
      <w:color w:val="0000FF"/>
      <w:u w:val="single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23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24">
    <w:name w:val="List Paragraph"/>
    <w:basedOn w:val="1"/>
    <w:qFormat/>
    <w:uiPriority w:val="34"/>
    <w:pPr>
      <w:ind w:firstLine="420" w:firstLineChars="200"/>
    </w:pPr>
  </w:style>
  <w:style w:type="character" w:customStyle="1" w:styleId="25">
    <w:name w:val="批注框文本 Char"/>
    <w:basedOn w:val="18"/>
    <w:link w:val="12"/>
    <w:qFormat/>
    <w:uiPriority w:val="99"/>
    <w:rPr>
      <w:sz w:val="18"/>
      <w:szCs w:val="18"/>
    </w:rPr>
  </w:style>
  <w:style w:type="paragraph" w:customStyle="1" w:styleId="2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7">
    <w:name w:val="正文 New"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szCs w:val="22"/>
      <w:lang w:val="en-US" w:eastAsia="zh-CN" w:bidi="ar-SA"/>
    </w:rPr>
  </w:style>
  <w:style w:type="paragraph" w:customStyle="1" w:styleId="28">
    <w:name w:val="（符号）二标题总则"/>
    <w:basedOn w:val="29"/>
    <w:qFormat/>
    <w:uiPriority w:val="99"/>
    <w:pPr>
      <w:numPr>
        <w:ilvl w:val="1"/>
        <w:numId w:val="0"/>
      </w:numPr>
      <w:spacing w:before="312" w:after="312"/>
      <w:ind w:left="0" w:firstLine="0"/>
    </w:pPr>
    <w:rPr>
      <w:rFonts w:ascii="宋体" w:hAnsi="宋体" w:eastAsia="宋体"/>
    </w:rPr>
  </w:style>
  <w:style w:type="paragraph" w:customStyle="1" w:styleId="29">
    <w:name w:val="(符号)一标题第一部分"/>
    <w:basedOn w:val="1"/>
    <w:qFormat/>
    <w:uiPriority w:val="99"/>
    <w:pPr>
      <w:numPr>
        <w:ilvl w:val="2"/>
        <w:numId w:val="1"/>
      </w:numPr>
      <w:tabs>
        <w:tab w:val="clear" w:pos="1142"/>
      </w:tabs>
      <w:suppressAutoHyphens w:val="0"/>
      <w:spacing w:beforeLines="100" w:afterLines="100" w:line="500" w:lineRule="exact"/>
      <w:ind w:left="0" w:firstLine="0"/>
      <w:jc w:val="center"/>
      <w:outlineLvl w:val="1"/>
    </w:pPr>
    <w:rPr>
      <w:rFonts w:ascii="黑体" w:eastAsia="黑体" w:cs="宋体"/>
      <w:b/>
      <w:bCs/>
      <w:kern w:val="2"/>
      <w:sz w:val="32"/>
      <w:szCs w:val="32"/>
      <w:lang w:eastAsia="zh-CN"/>
    </w:rPr>
  </w:style>
  <w:style w:type="paragraph" w:customStyle="1" w:styleId="30">
    <w:name w:val="(符号)四标题1.1"/>
    <w:basedOn w:val="1"/>
    <w:qFormat/>
    <w:uiPriority w:val="99"/>
    <w:pPr>
      <w:suppressAutoHyphens w:val="0"/>
      <w:spacing w:line="500" w:lineRule="exact"/>
    </w:pPr>
    <w:rPr>
      <w:rFonts w:ascii="宋体" w:hAnsi="宋体" w:cs="宋体"/>
      <w:color w:val="000000"/>
      <w:kern w:val="0"/>
      <w:sz w:val="24"/>
      <w:szCs w:val="20"/>
      <w:lang w:eastAsia="zh-CN"/>
    </w:rPr>
  </w:style>
  <w:style w:type="paragraph" w:customStyle="1" w:styleId="31">
    <w:name w:val="Body text|1"/>
    <w:basedOn w:val="1"/>
    <w:qFormat/>
    <w:uiPriority w:val="0"/>
    <w:pPr>
      <w:spacing w:line="420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</w:rPr>
  </w:style>
  <w:style w:type="paragraph" w:customStyle="1" w:styleId="32">
    <w:name w:val="Other|1"/>
    <w:basedOn w:val="1"/>
    <w:qFormat/>
    <w:uiPriority w:val="0"/>
    <w:pPr>
      <w:widowControl w:val="0"/>
      <w:shd w:val="clear" w:color="auto" w:fill="auto"/>
      <w:spacing w:line="425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1181</Words>
  <Characters>1254</Characters>
  <Paragraphs>427</Paragraphs>
  <TotalTime>50</TotalTime>
  <ScaleCrop>false</ScaleCrop>
  <LinksUpToDate>false</LinksUpToDate>
  <CharactersWithSpaces>1921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2020-07-24T03:01:00Z</dcterms:created>
  <dc:creator>Lenovo</dc:creator>
  <cp:lastModifiedBy>Wendy</cp:lastModifiedBy>
  <cp:lastPrinted>2026-06-02T01:08:00Z</cp:lastPrinted>
  <dcterms:modified xsi:type="dcterms:W3CDTF">2026-06-02T07:51:48Z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52A33D60831A4FDEAEA85385663A1CA8_13</vt:lpwstr>
  </property>
  <property fmtid="{D5CDD505-2E9C-101B-9397-08002B2CF9AE}" pid="4" name="KSOTemplateDocerSaveRecord">
    <vt:lpwstr>eyJoZGlkIjoiYzVmMjA5ZjNmYzNjNzg0Yzk2OGM1YjRhODQwMmRjZDIiLCJ1c2VySWQiOiIyMzg0MTk5NTYifQ==</vt:lpwstr>
  </property>
</Properties>
</file>