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37604">
      <w:pPr>
        <w:pStyle w:val="2"/>
        <w:pageBreakBefore w:val="0"/>
        <w:widowControl w:val="0"/>
        <w:numPr>
          <w:ilvl w:val="0"/>
          <w:numId w:val="0"/>
        </w:numPr>
        <w:kinsoku/>
        <w:wordWrap/>
        <w:overflowPunct/>
        <w:topLinePunct w:val="0"/>
        <w:autoSpaceDE/>
        <w:autoSpaceDN/>
        <w:bidi w:val="0"/>
        <w:spacing w:line="520" w:lineRule="exact"/>
        <w:jc w:val="both"/>
        <w:textAlignment w:val="auto"/>
        <w:rPr>
          <w:rFonts w:hint="default" w:ascii="宋体" w:hAnsi="宋体" w:eastAsia="宋体" w:cs="宋体"/>
          <w:b w:val="0"/>
          <w:bCs/>
          <w:color w:val="000000"/>
          <w:sz w:val="44"/>
          <w:szCs w:val="44"/>
          <w:highlight w:val="none"/>
          <w:lang w:val="en-US" w:eastAsia="zh-CN" w:bidi="ar-SA"/>
        </w:rPr>
      </w:pPr>
      <w:r>
        <w:rPr>
          <w:rFonts w:hint="eastAsia" w:hAnsi="宋体" w:cs="宋体"/>
          <w:b w:val="0"/>
          <w:bCs/>
          <w:color w:val="000000"/>
          <w:sz w:val="44"/>
          <w:szCs w:val="44"/>
          <w:highlight w:val="none"/>
          <w:lang w:val="en-US" w:eastAsia="zh-CN" w:bidi="ar-SA"/>
        </w:rPr>
        <w:t>附件：1</w:t>
      </w:r>
    </w:p>
    <w:p w14:paraId="1F9A0CC5">
      <w:pPr>
        <w:rPr>
          <w:rFonts w:hint="eastAsia" w:ascii="宋体" w:hAnsi="宋体" w:eastAsia="宋体" w:cs="宋体"/>
          <w:b w:val="0"/>
          <w:bCs/>
          <w:color w:val="000000"/>
          <w:sz w:val="44"/>
          <w:szCs w:val="44"/>
          <w:highlight w:val="none"/>
          <w:lang w:val="en-US" w:eastAsia="zh-CN" w:bidi="ar-SA"/>
        </w:rPr>
      </w:pPr>
    </w:p>
    <w:p w14:paraId="5B0FBF32">
      <w:pPr>
        <w:rPr>
          <w:rFonts w:hint="eastAsia" w:ascii="宋体" w:hAnsi="宋体" w:eastAsia="宋体" w:cs="宋体"/>
          <w:b w:val="0"/>
          <w:bCs/>
          <w:color w:val="000000"/>
          <w:sz w:val="44"/>
          <w:szCs w:val="44"/>
          <w:highlight w:val="none"/>
          <w:lang w:val="en-US" w:eastAsia="zh-CN" w:bidi="ar-SA"/>
        </w:rPr>
      </w:pPr>
      <w:bookmarkStart w:id="0" w:name="_GoBack"/>
      <w:bookmarkEnd w:id="0"/>
    </w:p>
    <w:p w14:paraId="7818FBAC">
      <w:pPr>
        <w:pStyle w:val="2"/>
        <w:pageBreakBefore w:val="0"/>
        <w:widowControl w:val="0"/>
        <w:numPr>
          <w:ilvl w:val="0"/>
          <w:numId w:val="0"/>
        </w:numPr>
        <w:kinsoku/>
        <w:wordWrap/>
        <w:overflowPunct/>
        <w:topLinePunct w:val="0"/>
        <w:autoSpaceDE/>
        <w:autoSpaceDN/>
        <w:bidi w:val="0"/>
        <w:spacing w:line="520" w:lineRule="exact"/>
        <w:ind w:firstLine="3080" w:firstLineChars="700"/>
        <w:jc w:val="both"/>
        <w:textAlignment w:val="auto"/>
        <w:rPr>
          <w:rFonts w:hint="eastAsia" w:ascii="宋体" w:hAnsi="宋体" w:eastAsia="宋体" w:cs="宋体"/>
          <w:color w:val="000000"/>
          <w:highlight w:val="none"/>
        </w:rPr>
      </w:pPr>
      <w:r>
        <w:rPr>
          <w:rFonts w:hint="eastAsia" w:ascii="宋体" w:hAnsi="宋体" w:eastAsia="宋体" w:cs="宋体"/>
          <w:b w:val="0"/>
          <w:bCs/>
          <w:color w:val="000000"/>
          <w:sz w:val="44"/>
          <w:szCs w:val="44"/>
          <w:highlight w:val="none"/>
          <w:lang w:val="en-US" w:eastAsia="zh-CN" w:bidi="ar-SA"/>
        </w:rPr>
        <w:t>采购需求</w:t>
      </w:r>
    </w:p>
    <w:p w14:paraId="07E0897B">
      <w:pPr>
        <w:pageBreakBefore w:val="0"/>
        <w:widowControl w:val="0"/>
        <w:kinsoku/>
        <w:wordWrap/>
        <w:overflowPunct/>
        <w:topLinePunct w:val="0"/>
        <w:autoSpaceDE/>
        <w:autoSpaceDN/>
        <w:bidi w:val="0"/>
        <w:spacing w:line="520" w:lineRule="exact"/>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采购清单及</w:t>
      </w:r>
      <w:r>
        <w:rPr>
          <w:rFonts w:hint="eastAsia" w:ascii="宋体" w:hAnsi="宋体" w:eastAsia="宋体" w:cs="宋体"/>
          <w:b/>
          <w:bCs w:val="0"/>
          <w:color w:val="auto"/>
          <w:sz w:val="24"/>
          <w:szCs w:val="24"/>
          <w:highlight w:val="none"/>
          <w:lang w:eastAsia="zh-CN"/>
        </w:rPr>
        <w:t>技术要求</w:t>
      </w:r>
    </w:p>
    <w:p w14:paraId="0B6B55AF">
      <w:pPr>
        <w:pageBreakBefore w:val="0"/>
        <w:widowControl w:val="0"/>
        <w:kinsoku/>
        <w:wordWrap/>
        <w:overflowPunct/>
        <w:topLinePunct w:val="0"/>
        <w:autoSpaceDE/>
        <w:autoSpaceDN/>
        <w:bidi w:val="0"/>
        <w:spacing w:line="520" w:lineRule="exac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一、采购清单</w:t>
      </w:r>
    </w:p>
    <w:tbl>
      <w:tblPr>
        <w:tblStyle w:val="4"/>
        <w:tblW w:w="90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116"/>
        <w:gridCol w:w="1134"/>
        <w:gridCol w:w="866"/>
        <w:gridCol w:w="1067"/>
        <w:gridCol w:w="1450"/>
        <w:gridCol w:w="2633"/>
      </w:tblGrid>
      <w:tr w14:paraId="14EC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vAlign w:val="top"/>
          </w:tcPr>
          <w:p w14:paraId="50B16BA0">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序号</w:t>
            </w:r>
          </w:p>
        </w:tc>
        <w:tc>
          <w:tcPr>
            <w:tcW w:w="1116" w:type="dxa"/>
            <w:noWrap w:val="0"/>
            <w:vAlign w:val="top"/>
          </w:tcPr>
          <w:p w14:paraId="5769369B">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货物名称</w:t>
            </w:r>
          </w:p>
        </w:tc>
        <w:tc>
          <w:tcPr>
            <w:tcW w:w="1134" w:type="dxa"/>
            <w:noWrap w:val="0"/>
            <w:vAlign w:val="top"/>
          </w:tcPr>
          <w:p w14:paraId="2AB34131">
            <w:pPr>
              <w:pageBreakBefore w:val="0"/>
              <w:widowControl w:val="0"/>
              <w:kinsoku/>
              <w:wordWrap/>
              <w:overflowPunct/>
              <w:topLinePunct w:val="0"/>
              <w:autoSpaceDE/>
              <w:autoSpaceDN/>
              <w:bidi w:val="0"/>
              <w:spacing w:line="520" w:lineRule="exact"/>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氧含量</w:t>
            </w:r>
          </w:p>
        </w:tc>
        <w:tc>
          <w:tcPr>
            <w:tcW w:w="866" w:type="dxa"/>
            <w:noWrap w:val="0"/>
            <w:vAlign w:val="top"/>
          </w:tcPr>
          <w:p w14:paraId="5B9EF541">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单位</w:t>
            </w:r>
          </w:p>
        </w:tc>
        <w:tc>
          <w:tcPr>
            <w:tcW w:w="1067" w:type="dxa"/>
            <w:noWrap w:val="0"/>
            <w:vAlign w:val="top"/>
          </w:tcPr>
          <w:p w14:paraId="679E1195">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数量</w:t>
            </w:r>
          </w:p>
        </w:tc>
        <w:tc>
          <w:tcPr>
            <w:tcW w:w="1450" w:type="dxa"/>
            <w:noWrap w:val="0"/>
            <w:vAlign w:val="top"/>
          </w:tcPr>
          <w:p w14:paraId="2D796DAD">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单价最高限价</w:t>
            </w:r>
          </w:p>
        </w:tc>
        <w:tc>
          <w:tcPr>
            <w:tcW w:w="2633" w:type="dxa"/>
            <w:noWrap w:val="0"/>
            <w:vAlign w:val="top"/>
          </w:tcPr>
          <w:p w14:paraId="0F0DC3A8">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备注</w:t>
            </w:r>
          </w:p>
        </w:tc>
      </w:tr>
      <w:tr w14:paraId="711D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vAlign w:val="center"/>
          </w:tcPr>
          <w:p w14:paraId="6832F735">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p>
        </w:tc>
        <w:tc>
          <w:tcPr>
            <w:tcW w:w="1116" w:type="dxa"/>
            <w:noWrap w:val="0"/>
            <w:vAlign w:val="center"/>
          </w:tcPr>
          <w:p w14:paraId="04E3F890">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医用液态氧</w:t>
            </w:r>
          </w:p>
        </w:tc>
        <w:tc>
          <w:tcPr>
            <w:tcW w:w="1134" w:type="dxa"/>
            <w:noWrap w:val="0"/>
            <w:vAlign w:val="center"/>
          </w:tcPr>
          <w:p w14:paraId="4DCAB592">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≥99.5%</w:t>
            </w:r>
          </w:p>
        </w:tc>
        <w:tc>
          <w:tcPr>
            <w:tcW w:w="866" w:type="dxa"/>
            <w:noWrap w:val="0"/>
            <w:vAlign w:val="center"/>
          </w:tcPr>
          <w:p w14:paraId="2B6DE11F">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吨</w:t>
            </w:r>
          </w:p>
        </w:tc>
        <w:tc>
          <w:tcPr>
            <w:tcW w:w="1067" w:type="dxa"/>
            <w:noWrap w:val="0"/>
            <w:vAlign w:val="center"/>
          </w:tcPr>
          <w:p w14:paraId="0E4C57CB">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约</w:t>
            </w:r>
            <w:r>
              <w:rPr>
                <w:rFonts w:hint="eastAsia" w:ascii="宋体" w:hAnsi="宋体" w:cs="宋体"/>
                <w:b w:val="0"/>
                <w:bCs/>
                <w:color w:val="auto"/>
                <w:sz w:val="24"/>
                <w:szCs w:val="24"/>
                <w:highlight w:val="none"/>
                <w:vertAlign w:val="baseline"/>
                <w:lang w:val="en-US" w:eastAsia="zh-CN"/>
              </w:rPr>
              <w:t>1</w:t>
            </w:r>
            <w:r>
              <w:rPr>
                <w:rFonts w:hint="eastAsia" w:ascii="宋体" w:hAnsi="宋体" w:eastAsia="宋体" w:cs="宋体"/>
                <w:b w:val="0"/>
                <w:bCs/>
                <w:color w:val="auto"/>
                <w:sz w:val="24"/>
                <w:szCs w:val="24"/>
                <w:highlight w:val="none"/>
                <w:vertAlign w:val="baseline"/>
                <w:lang w:val="en-US" w:eastAsia="zh-CN"/>
              </w:rPr>
              <w:t>50</w:t>
            </w:r>
          </w:p>
        </w:tc>
        <w:tc>
          <w:tcPr>
            <w:tcW w:w="1450" w:type="dxa"/>
            <w:noWrap w:val="0"/>
            <w:vAlign w:val="center"/>
          </w:tcPr>
          <w:p w14:paraId="4E7361EA">
            <w:pPr>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2100元/吨</w:t>
            </w:r>
          </w:p>
        </w:tc>
        <w:tc>
          <w:tcPr>
            <w:tcW w:w="2633" w:type="dxa"/>
            <w:noWrap w:val="0"/>
            <w:vAlign w:val="center"/>
          </w:tcPr>
          <w:p w14:paraId="513B8928">
            <w:pPr>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本项目</w:t>
            </w:r>
            <w:r>
              <w:rPr>
                <w:rFonts w:hint="eastAsia" w:ascii="宋体" w:hAnsi="宋体" w:cs="宋体"/>
                <w:b w:val="0"/>
                <w:bCs/>
                <w:color w:val="auto"/>
                <w:sz w:val="24"/>
                <w:szCs w:val="24"/>
                <w:highlight w:val="none"/>
                <w:vertAlign w:val="baseline"/>
                <w:lang w:val="en-US" w:eastAsia="zh-CN"/>
              </w:rPr>
              <w:t>一</w:t>
            </w:r>
            <w:r>
              <w:rPr>
                <w:rFonts w:hint="eastAsia" w:ascii="宋体" w:hAnsi="宋体" w:eastAsia="宋体" w:cs="宋体"/>
                <w:b w:val="0"/>
                <w:bCs/>
                <w:color w:val="auto"/>
                <w:sz w:val="24"/>
                <w:szCs w:val="24"/>
                <w:highlight w:val="none"/>
                <w:vertAlign w:val="baseline"/>
                <w:lang w:val="en-US" w:eastAsia="zh-CN"/>
              </w:rPr>
              <w:t>年的采购数量暂估约</w:t>
            </w:r>
            <w:r>
              <w:rPr>
                <w:rFonts w:hint="eastAsia" w:ascii="宋体" w:hAnsi="宋体" w:cs="宋体"/>
                <w:b w:val="0"/>
                <w:bCs/>
                <w:color w:val="auto"/>
                <w:sz w:val="24"/>
                <w:szCs w:val="24"/>
                <w:highlight w:val="none"/>
                <w:vertAlign w:val="baseline"/>
                <w:lang w:val="en-US" w:eastAsia="zh-CN"/>
              </w:rPr>
              <w:t>1</w:t>
            </w:r>
            <w:r>
              <w:rPr>
                <w:rFonts w:hint="eastAsia" w:ascii="宋体" w:hAnsi="宋体" w:eastAsia="宋体" w:cs="宋体"/>
                <w:b w:val="0"/>
                <w:bCs/>
                <w:color w:val="auto"/>
                <w:sz w:val="24"/>
                <w:szCs w:val="24"/>
                <w:highlight w:val="none"/>
                <w:vertAlign w:val="baseline"/>
                <w:lang w:val="en-US" w:eastAsia="zh-CN"/>
              </w:rPr>
              <w:t>50吨，成交后，供应商需根据采购人的实际需求按需供货，最终采购数量以实际用量为准。</w:t>
            </w:r>
          </w:p>
        </w:tc>
      </w:tr>
    </w:tbl>
    <w:p w14:paraId="6C5124A9">
      <w:pPr>
        <w:pageBreakBefore w:val="0"/>
        <w:widowControl w:val="0"/>
        <w:numPr>
          <w:ilvl w:val="0"/>
          <w:numId w:val="0"/>
        </w:numPr>
        <w:kinsoku/>
        <w:wordWrap/>
        <w:overflowPunct/>
        <w:topLinePunct w:val="0"/>
        <w:autoSpaceDE/>
        <w:autoSpaceDN/>
        <w:bidi w:val="0"/>
        <w:spacing w:line="520" w:lineRule="exac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kern w:val="2"/>
          <w:sz w:val="24"/>
          <w:szCs w:val="24"/>
          <w:lang w:val="en-US" w:eastAsia="zh-CN" w:bidi="ar-SA"/>
        </w:rPr>
        <w:t>二、</w:t>
      </w:r>
      <w:r>
        <w:rPr>
          <w:rFonts w:hint="eastAsia" w:ascii="宋体" w:hAnsi="宋体" w:eastAsia="宋体" w:cs="宋体"/>
          <w:b/>
          <w:bCs w:val="0"/>
          <w:color w:val="auto"/>
          <w:sz w:val="24"/>
          <w:szCs w:val="24"/>
          <w:highlight w:val="none"/>
          <w:lang w:val="en-US" w:eastAsia="zh-CN"/>
        </w:rPr>
        <w:t>技术要求</w:t>
      </w:r>
    </w:p>
    <w:p w14:paraId="63FCC6C4">
      <w:pPr>
        <w:pageBreakBefore w:val="0"/>
        <w:widowControl w:val="0"/>
        <w:numPr>
          <w:ilvl w:val="0"/>
          <w:numId w:val="0"/>
        </w:numPr>
        <w:kinsoku/>
        <w:wordWrap/>
        <w:overflowPunct/>
        <w:topLinePunct w:val="0"/>
        <w:autoSpaceDE/>
        <w:autoSpaceDN/>
        <w:bidi w:val="0"/>
        <w:spacing w:line="520" w:lineRule="exact"/>
        <w:ind w:firstLine="482"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1、验收标准、规范：</w:t>
      </w:r>
      <w:r>
        <w:rPr>
          <w:rFonts w:hint="eastAsia" w:ascii="宋体" w:hAnsi="宋体" w:eastAsia="宋体" w:cs="宋体"/>
          <w:b w:val="0"/>
          <w:bCs/>
          <w:color w:val="auto"/>
          <w:sz w:val="24"/>
          <w:szCs w:val="24"/>
          <w:highlight w:val="none"/>
          <w:lang w:val="en-US" w:eastAsia="zh-CN"/>
        </w:rPr>
        <w:t>符合《中华人民共和国药典》现行版规定、</w:t>
      </w:r>
      <w:r>
        <w:rPr>
          <w:rFonts w:hint="eastAsia" w:ascii="宋体" w:hAnsi="宋体" w:cs="宋体"/>
          <w:b w:val="0"/>
          <w:bCs/>
          <w:color w:val="auto"/>
          <w:sz w:val="24"/>
          <w:szCs w:val="24"/>
          <w:highlight w:val="none"/>
          <w:lang w:val="en-US" w:eastAsia="zh-CN"/>
        </w:rPr>
        <w:t>采购需求</w:t>
      </w:r>
      <w:r>
        <w:rPr>
          <w:rFonts w:hint="eastAsia" w:ascii="宋体" w:hAnsi="宋体" w:eastAsia="宋体" w:cs="宋体"/>
          <w:b w:val="0"/>
          <w:bCs/>
          <w:color w:val="auto"/>
          <w:sz w:val="24"/>
          <w:szCs w:val="24"/>
          <w:highlight w:val="none"/>
          <w:lang w:val="en-US" w:eastAsia="zh-CN"/>
        </w:rPr>
        <w:t>及合同要求。</w:t>
      </w:r>
    </w:p>
    <w:p w14:paraId="5115A772">
      <w:pPr>
        <w:pageBreakBefore w:val="0"/>
        <w:widowControl w:val="0"/>
        <w:numPr>
          <w:ilvl w:val="0"/>
          <w:numId w:val="0"/>
        </w:numPr>
        <w:kinsoku/>
        <w:wordWrap/>
        <w:overflowPunct/>
        <w:topLinePunct w:val="0"/>
        <w:autoSpaceDE/>
        <w:autoSpaceDN/>
        <w:bidi w:val="0"/>
        <w:spacing w:line="520" w:lineRule="exact"/>
        <w:ind w:firstLine="482" w:firstLineChars="200"/>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2、配送服务要求 </w:t>
      </w:r>
    </w:p>
    <w:p w14:paraId="73369A40">
      <w:pPr>
        <w:pageBreakBefore w:val="0"/>
        <w:widowControl w:val="0"/>
        <w:numPr>
          <w:ilvl w:val="0"/>
          <w:numId w:val="0"/>
        </w:numPr>
        <w:kinsoku/>
        <w:wordWrap/>
        <w:overflowPunct/>
        <w:topLinePunct w:val="0"/>
        <w:autoSpaceDE/>
        <w:autoSpaceDN/>
        <w:bidi w:val="0"/>
        <w:spacing w:line="520" w:lineRule="exact"/>
        <w:ind w:firstLine="482"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（1）供货时效：</w:t>
      </w:r>
      <w:r>
        <w:rPr>
          <w:rFonts w:hint="eastAsia" w:ascii="宋体" w:hAnsi="宋体" w:eastAsia="宋体" w:cs="宋体"/>
          <w:b w:val="0"/>
          <w:bCs/>
          <w:color w:val="auto"/>
          <w:sz w:val="24"/>
          <w:szCs w:val="24"/>
          <w:highlight w:val="none"/>
          <w:lang w:val="en-US" w:eastAsia="zh-CN"/>
        </w:rPr>
        <w:t xml:space="preserve">供应商在接到医院用氧信息后，应36小时内完成供货，如遇紧急情况，供货时间不超8小时。若因供应商未能及时供应液态氧造成医疗事故或经济损失的，由供应商负责赔偿，采购人因此承担责任的有权向供应商追偿损失（包括采购人向第三人赔偿的损失、诉讼费、律师费等直接、间接损失）。 </w:t>
      </w:r>
    </w:p>
    <w:p w14:paraId="6FB171B3">
      <w:pPr>
        <w:pageBreakBefore w:val="0"/>
        <w:widowControl w:val="0"/>
        <w:numPr>
          <w:ilvl w:val="0"/>
          <w:numId w:val="0"/>
        </w:numPr>
        <w:kinsoku/>
        <w:wordWrap/>
        <w:overflowPunct/>
        <w:topLinePunct w:val="0"/>
        <w:autoSpaceDE/>
        <w:autoSpaceDN/>
        <w:bidi w:val="0"/>
        <w:spacing w:line="520" w:lineRule="exact"/>
        <w:ind w:firstLine="482"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（2）库存管理：</w:t>
      </w:r>
      <w:r>
        <w:rPr>
          <w:rFonts w:hint="eastAsia" w:ascii="宋体" w:hAnsi="宋体" w:eastAsia="宋体" w:cs="宋体"/>
          <w:b w:val="0"/>
          <w:bCs/>
          <w:color w:val="auto"/>
          <w:sz w:val="24"/>
          <w:szCs w:val="24"/>
          <w:highlight w:val="none"/>
          <w:lang w:val="en-US" w:eastAsia="zh-CN"/>
        </w:rPr>
        <w:t>供应商须有专人每日对接医院液氧储罐库存数量，确保储罐液位维持在30%-80%安全区间，低于30%须有专人主动提醒并及时补货，避免库存不足风险。</w:t>
      </w:r>
    </w:p>
    <w:p w14:paraId="7494AC0A">
      <w:pPr>
        <w:pageBreakBefore w:val="0"/>
        <w:widowControl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（3）供应商送货操作人员、维修人员或送货车辆等在医院的所属区域内应遵守医院的相关规章制度，以保证不影响医院正常的运行秩序。 </w:t>
      </w:r>
    </w:p>
    <w:p w14:paraId="2750A556">
      <w:pPr>
        <w:pageBreakBefore w:val="0"/>
        <w:widowControl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（4）供应商须有专人对采购人供氧站内所有设备的安全运行提供维护、保养及及易损件的维修，并按国家相关法律法规要求对采购人供氧站内所有设备提供检测服务。 </w:t>
      </w:r>
    </w:p>
    <w:p w14:paraId="06B3D8AE">
      <w:pPr>
        <w:pageBreakBefore w:val="0"/>
        <w:widowControl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供应商须有专人根据采购人实际需求提供日常和定期维修保养服务，提供压力容器、安全阀和压力表等的定期调试服务。如发生任何设备损坏或影响设备运行的问题，接到通知后要第一时间采取紧急安全抢救，尽快到达气站安排维修，保障液氧站不停气使用，每次维修保养后，须向采购提供书面维修保养报告。 </w:t>
      </w:r>
    </w:p>
    <w:p w14:paraId="77306FF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（6）供应商须根据采购人需求对医院设备管理及使用人员进行培训，让医院设备管理及使用人员熟悉并正确使用相关设备，保障设备使用的合理性和安全性。 </w:t>
      </w:r>
    </w:p>
    <w:p w14:paraId="546746FE">
      <w:pPr>
        <w:pageBreakBefore w:val="0"/>
        <w:widowControl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（7）供应商须协助采购人进行有关氧气站的消防、氧气泄露等相关问题的演练及预案。</w:t>
      </w:r>
    </w:p>
    <w:p w14:paraId="12AD3EF9">
      <w:pPr>
        <w:pageBreakBefore w:val="0"/>
        <w:widowControl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（8）供应商须按采购人要求将《安全告知卡》、《低温液体储罐操作规程》、《应急预案》粘帖在采购人指定地点公示。 </w:t>
      </w:r>
    </w:p>
    <w:p w14:paraId="6E67A48B">
      <w:pPr>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（9）供应商须按采购人要求对设备及系统进行巡检，确保设备及系统的正常运行。</w:t>
      </w:r>
    </w:p>
    <w:p w14:paraId="3D3A86A6">
      <w:pPr>
        <w:keepNext w:val="0"/>
        <w:keepLines w:val="0"/>
        <w:pageBreakBefore w:val="0"/>
        <w:widowControl w:val="0"/>
        <w:kinsoku/>
        <w:wordWrap/>
        <w:overflowPunct/>
        <w:topLinePunct w:val="0"/>
        <w:autoSpaceDE/>
        <w:autoSpaceDN/>
        <w:bidi w:val="0"/>
        <w:snapToGrid/>
        <w:spacing w:line="520" w:lineRule="exact"/>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商务要求</w:t>
      </w:r>
    </w:p>
    <w:p w14:paraId="6609A7F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一、服务期及服务地点</w:t>
      </w:r>
    </w:p>
    <w:p w14:paraId="20CA549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供货（服务）期：</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年。</w:t>
      </w:r>
    </w:p>
    <w:p w14:paraId="5291761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供货地点：采购人指定地点（项目实施地点）。</w:t>
      </w:r>
    </w:p>
    <w:p w14:paraId="2AFC9E89">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二、验收标准、规范及方式</w:t>
      </w:r>
    </w:p>
    <w:p w14:paraId="2F3C190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验收标准、规范：符合《中华人民共和国药典》现行版规定及合同要求。</w:t>
      </w:r>
    </w:p>
    <w:p w14:paraId="6E36113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验收方式：现场验收。</w:t>
      </w:r>
    </w:p>
    <w:p w14:paraId="001AB37B">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备注：</w:t>
      </w:r>
    </w:p>
    <w:p w14:paraId="7855E8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highlight w:val="none"/>
          <w:lang w:val="en-US" w:eastAsia="zh-CN"/>
        </w:rPr>
        <w:t>采购人只对安全到达指定地点的合格产品进行验收，运输过程中的安全及质量保证、数量损失由供应商自行负责；</w:t>
      </w:r>
    </w:p>
    <w:p w14:paraId="0C68C83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highlight w:val="none"/>
          <w:lang w:val="en-US" w:eastAsia="zh-CN"/>
        </w:rPr>
        <w:t>在验收时，须随货提供具有检验检测资质的第三方出具检测合格的检测报告，若发现供应商提供产品</w:t>
      </w:r>
      <w:r>
        <w:rPr>
          <w:rFonts w:hint="eastAsia" w:ascii="宋体" w:hAnsi="宋体" w:cs="宋体"/>
          <w:b w:val="0"/>
          <w:bCs/>
          <w:color w:val="auto"/>
          <w:sz w:val="24"/>
          <w:szCs w:val="24"/>
          <w:highlight w:val="none"/>
          <w:lang w:val="en-US" w:eastAsia="zh-CN"/>
        </w:rPr>
        <w:t>与</w:t>
      </w:r>
      <w:r>
        <w:rPr>
          <w:rFonts w:hint="eastAsia" w:ascii="宋体" w:hAnsi="宋体" w:eastAsia="宋体" w:cs="宋体"/>
          <w:b w:val="0"/>
          <w:bCs/>
          <w:color w:val="auto"/>
          <w:sz w:val="24"/>
          <w:szCs w:val="24"/>
          <w:highlight w:val="none"/>
          <w:lang w:val="en-US" w:eastAsia="zh-CN"/>
        </w:rPr>
        <w:t>技术参数不符者，采购人将不予验收，并向供应商追究相关责任。</w:t>
      </w:r>
    </w:p>
    <w:p w14:paraId="7888FCE7">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三、付款方式</w:t>
      </w:r>
    </w:p>
    <w:p w14:paraId="7FE75A2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lang w:val="en-US" w:eastAsia="zh-CN"/>
        </w:rPr>
        <w:t>每批完成供货、配送、装卸等相关服务，并经采购人验收合格，成交供应商向采购人出具合法、有效的增值税发票（后附供货明细），待采购人完成付款审批流程后，支付货款。</w:t>
      </w:r>
    </w:p>
    <w:p w14:paraId="7219105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2、结算方式：成交单价*实际发生的数量据实结算，每年最终结算总价不得超过每年的采购预算价。</w:t>
      </w:r>
    </w:p>
    <w:p w14:paraId="11960D13">
      <w:pPr>
        <w:pageBreakBefore w:val="0"/>
        <w:widowControl w:val="0"/>
        <w:kinsoku/>
        <w:wordWrap/>
        <w:overflowPunct/>
        <w:topLinePunct w:val="0"/>
        <w:autoSpaceDE/>
        <w:autoSpaceDN/>
        <w:bidi w:val="0"/>
        <w:spacing w:line="520" w:lineRule="exact"/>
        <w:textAlignment w:val="auto"/>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46C65"/>
    <w:rsid w:val="089A73E5"/>
    <w:rsid w:val="17D9680D"/>
    <w:rsid w:val="300E30A0"/>
    <w:rsid w:val="4E143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adjustRightInd w:val="0"/>
      <w:snapToGrid w:val="0"/>
      <w:spacing w:line="360" w:lineRule="auto"/>
      <w:jc w:val="center"/>
      <w:outlineLvl w:val="1"/>
    </w:pPr>
    <w:rPr>
      <w:rFonts w:ascii="宋体" w:hAnsi="Arial" w:cs="宋体"/>
      <w:sz w:val="32"/>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1219</Words>
  <Characters>1239</Characters>
  <Lines>0</Lines>
  <Paragraphs>0</Paragraphs>
  <TotalTime>9</TotalTime>
  <ScaleCrop>false</ScaleCrop>
  <LinksUpToDate>false</LinksUpToDate>
  <CharactersWithSpaces>1246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2026-04-20T02:24:00Z</dcterms:created>
  <dc:creator>Administrator</dc:creator>
  <cp:lastModifiedBy>Wendy</cp:lastModifiedBy>
  <dcterms:modified xsi:type="dcterms:W3CDTF">2026-04-20T03:19:01Z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eyJoZGlkIjoiYzVmMjA5ZjNmYzNjNzg0Yzk2OGM1YjRhODQwMmRjZDIiLCJ1c2VySWQiOiIyMzg0MTk5NTYifQ==</vt:lpwstr>
  </property>
  <property fmtid="{D5CDD505-2E9C-101B-9397-08002B2CF9AE}" pid="4" name="ICV">
    <vt:lpwstr>0512A5A0EDD54289BC0F5ACACA24CA6D_12</vt:lpwstr>
  </property>
</Properties>
</file>